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20" w:lineRule="exact"/>
        <w:ind w:firstLine="8571"/>
      </w:pPr>
      <w:r>
        <w:rPr>
          <w:position w:val="-20"/>
        </w:rPr>
        <w:drawing>
          <wp:inline distT="0" distB="0" distL="0" distR="0">
            <wp:extent cx="683895" cy="647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1" cy="6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216" w:lineRule="auto"/>
        <w:ind w:left="3187"/>
        <w:rPr>
          <w:rFonts w:ascii="宋体" w:hAnsi="宋体" w:eastAsia="宋体" w:cs="宋体"/>
          <w:sz w:val="35"/>
          <w:szCs w:val="35"/>
        </w:rPr>
      </w:pPr>
      <w:r>
        <w:pict>
          <v:shape id="_x0000_s1026" o:spid="_x0000_s1026" o:spt="202" type="#_x0000_t202" style="position:absolute;left:0pt;margin-left:422.7pt;margin-top:-0.55pt;height:9.65pt;width:65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2"/>
                      <w:szCs w:val="12"/>
                    </w:rPr>
                    <w:t>（扫描查收电子文书）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5"/>
          <w:sz w:val="35"/>
          <w:szCs w:val="35"/>
          <w14:textOutline w14:w="4704" w14:cap="sq" w14:cmpd="sng">
            <w14:solidFill>
              <w14:srgbClr w14:val="000000"/>
            </w14:solidFill>
            <w14:prstDash w14:val="solid"/>
            <w14:miter w14:val="10"/>
          </w14:textOutline>
        </w:rPr>
        <w:t>安全生产行政执法文书</w:t>
      </w:r>
    </w:p>
    <w:p>
      <w:pPr>
        <w:spacing w:before="32" w:line="73" w:lineRule="exact"/>
        <w:ind w:firstLine="7"/>
      </w:pPr>
      <w:r>
        <w:rPr>
          <w:position w:val="-1"/>
        </w:rPr>
        <w:pict>
          <v:shape id="_x0000_s1027" o:spid="_x0000_s1027" style="height:3.65pt;width:505.9pt;" filled="f" stroked="t" coordsize="10117,73" path="m0,7l10117,7m0,65l10117,65e">
            <v:fill on="f" focussize="0,0"/>
            <v:stroke color="#000000" miterlimit="100" joinstyle="miter"/>
            <v:imagedata o:title=""/>
            <o:lock v:ext="edit"/>
            <w10:wrap type="none"/>
            <w10:anchorlock/>
          </v:shape>
        </w:pict>
      </w:r>
    </w:p>
    <w:p>
      <w:pPr>
        <w:spacing w:before="120" w:line="217" w:lineRule="auto"/>
        <w:ind w:left="37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5"/>
          <w:sz w:val="35"/>
          <w:szCs w:val="35"/>
          <w14:textOutline w14:w="4704" w14:cap="sq" w14:cmpd="sng">
            <w14:solidFill>
              <w14:srgbClr w14:val="000000"/>
            </w14:solidFill>
            <w14:prstDash w14:val="solid"/>
            <w14:miter w14:val="10"/>
          </w14:textOutline>
        </w:rPr>
        <w:t>行政处罚决定书</w:t>
      </w:r>
    </w:p>
    <w:p>
      <w:pPr>
        <w:pStyle w:val="2"/>
        <w:spacing w:before="146" w:line="223" w:lineRule="auto"/>
        <w:ind w:left="3098"/>
        <w:rPr>
          <w:sz w:val="30"/>
          <w:szCs w:val="30"/>
        </w:rPr>
      </w:pPr>
      <w:r>
        <w:rPr>
          <w:spacing w:val="-2"/>
          <w:sz w:val="30"/>
          <w:szCs w:val="30"/>
        </w:rPr>
        <w:t>（和县）应急罚〔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2024</w:t>
      </w:r>
      <w:r>
        <w:rPr>
          <w:spacing w:val="-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18</w:t>
      </w:r>
      <w:r>
        <w:rPr>
          <w:rFonts w:ascii="Times New Roman" w:hAnsi="Times New Roman" w:eastAsia="Times New Roman" w:cs="Times New Roman"/>
          <w:spacing w:val="3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号</w:t>
      </w:r>
    </w:p>
    <w:p>
      <w:pPr>
        <w:spacing w:line="433" w:lineRule="auto"/>
        <w:rPr>
          <w:rFonts w:ascii="Arial"/>
          <w:sz w:val="21"/>
        </w:rPr>
      </w:pPr>
    </w:p>
    <w:p>
      <w:pPr>
        <w:pStyle w:val="2"/>
        <w:tabs>
          <w:tab w:val="left" w:pos="10060"/>
        </w:tabs>
        <w:spacing w:before="75" w:line="447" w:lineRule="auto"/>
        <w:ind w:left="87" w:right="71"/>
        <w:jc w:val="both"/>
      </w:pPr>
      <w:r>
        <w:rPr>
          <w:spacing w:val="5"/>
        </w:rPr>
        <w:t>被处罚人：</w:t>
      </w:r>
      <w:r>
        <w:rPr>
          <w:spacing w:val="5"/>
          <w:u w:val="single" w:color="auto"/>
        </w:rPr>
        <w:t xml:space="preserve">韩国兴                                               </w:t>
      </w:r>
      <w:r>
        <w:rPr>
          <w:spacing w:val="5"/>
        </w:rPr>
        <w:t xml:space="preserve"> 性别：</w:t>
      </w:r>
      <w:r>
        <w:rPr>
          <w:spacing w:val="5"/>
          <w:u w:val="single" w:color="auto"/>
        </w:rPr>
        <w:t>男</w:t>
      </w:r>
      <w:r>
        <w:rPr>
          <w:spacing w:val="49"/>
          <w:u w:val="single" w:color="auto"/>
        </w:rPr>
        <w:t xml:space="preserve"> </w:t>
      </w:r>
      <w:r>
        <w:rPr>
          <w:spacing w:val="5"/>
        </w:rPr>
        <w:t xml:space="preserve"> 年龄：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45</w:t>
      </w:r>
      <w:r>
        <w:rPr>
          <w:rFonts w:ascii="Times New Roman" w:hAnsi="Times New Roman" w:eastAsia="Times New Roman" w:cs="Times New Roman"/>
          <w:u w:val="single" w:color="auto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家庭住址：</w:t>
      </w:r>
      <w:r>
        <w:rPr>
          <w:spacing w:val="8"/>
          <w:u w:val="single" w:color="auto"/>
        </w:rPr>
        <w:t>和田市城市广场</w:t>
      </w:r>
      <w:bookmarkStart w:id="0" w:name="_GoBack"/>
      <w:bookmarkEnd w:id="0"/>
      <w:r>
        <w:rPr>
          <w:u w:val="single" w:color="auto"/>
        </w:rPr>
        <w:tab/>
      </w:r>
      <w:r>
        <w:t xml:space="preserve"> </w:t>
      </w:r>
      <w:r>
        <w:rPr>
          <w:spacing w:val="6"/>
        </w:rPr>
        <w:t>所在单位：</w:t>
      </w:r>
      <w:r>
        <w:rPr>
          <w:spacing w:val="6"/>
          <w:u w:val="single" w:color="auto"/>
        </w:rPr>
        <w:t>新疆东力矿业投资有限公司</w:t>
      </w:r>
      <w:r>
        <w:rPr>
          <w:spacing w:val="3"/>
          <w:u w:val="single" w:color="auto"/>
        </w:rPr>
        <w:t xml:space="preserve">                 </w:t>
      </w:r>
      <w:r>
        <w:rPr>
          <w:spacing w:val="6"/>
        </w:rPr>
        <w:t xml:space="preserve"> 职务：</w:t>
      </w:r>
      <w:r>
        <w:rPr>
          <w:spacing w:val="6"/>
          <w:u w:val="single" w:color="auto"/>
        </w:rPr>
        <w:t xml:space="preserve">现场负责人                </w:t>
      </w:r>
    </w:p>
    <w:p>
      <w:pPr>
        <w:pStyle w:val="2"/>
        <w:spacing w:line="229" w:lineRule="auto"/>
        <w:ind w:left="92"/>
      </w:pPr>
      <w:r>
        <w:rPr>
          <w:spacing w:val="5"/>
        </w:rPr>
        <w:t>单位地址：</w:t>
      </w:r>
      <w:r>
        <w:rPr>
          <w:spacing w:val="5"/>
          <w:u w:val="single" w:color="auto"/>
        </w:rPr>
        <w:t xml:space="preserve">新疆和田地区和田县大红柳滩                         </w:t>
      </w:r>
      <w:r>
        <w:rPr>
          <w:spacing w:val="4"/>
          <w:u w:val="single" w:color="auto"/>
        </w:rPr>
        <w:t xml:space="preserve">                       </w:t>
      </w:r>
    </w:p>
    <w:p>
      <w:pPr>
        <w:pStyle w:val="2"/>
        <w:spacing w:before="270" w:line="447" w:lineRule="auto"/>
        <w:ind w:left="73" w:right="121" w:firstLine="469"/>
      </w:pPr>
      <w:r>
        <w:rPr>
          <w:spacing w:val="4"/>
        </w:rPr>
        <w:t>违法事实及证据：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-24"/>
          <w:u w:val="single" w:color="auto"/>
        </w:rPr>
        <w:t xml:space="preserve"> </w:t>
      </w:r>
      <w:r>
        <w:rPr>
          <w:spacing w:val="4"/>
          <w:u w:val="single" w:color="auto"/>
        </w:rPr>
        <w:t>、矿山现场上部</w:t>
      </w:r>
      <w:r>
        <w:rPr>
          <w:spacing w:val="-4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91-</w:t>
      </w:r>
      <w:r>
        <w:rPr>
          <w:rFonts w:ascii="Times New Roman" w:hAnsi="Times New Roman" w:eastAsia="Times New Roman" w:cs="Times New Roman"/>
          <w:spacing w:val="-3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-23"/>
          <w:u w:val="single" w:color="auto"/>
        </w:rPr>
        <w:t xml:space="preserve"> </w:t>
      </w:r>
      <w:r>
        <w:rPr>
          <w:spacing w:val="4"/>
          <w:u w:val="single" w:color="auto"/>
        </w:rPr>
        <w:t>、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91-2</w:t>
      </w:r>
      <w:r>
        <w:rPr>
          <w:rFonts w:ascii="Times New Roman" w:hAnsi="Times New Roman" w:eastAsia="Times New Roman" w:cs="Times New Roman"/>
          <w:spacing w:val="18"/>
          <w:w w:val="101"/>
          <w:u w:val="single" w:color="auto"/>
        </w:rPr>
        <w:t xml:space="preserve"> </w:t>
      </w:r>
      <w:r>
        <w:rPr>
          <w:spacing w:val="4"/>
          <w:u w:val="single" w:color="auto"/>
        </w:rPr>
        <w:t>矿体标高为</w:t>
      </w:r>
      <w:r>
        <w:rPr>
          <w:spacing w:val="-5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4"/>
          <w:u w:val="single" w:color="auto"/>
        </w:rPr>
        <w:t>47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60m</w:t>
      </w:r>
      <w:r>
        <w:rPr>
          <w:rFonts w:ascii="Times New Roman" w:hAnsi="Times New Roman" w:eastAsia="Times New Roman" w:cs="Times New Roman"/>
          <w:spacing w:val="-25"/>
          <w:u w:val="single" w:color="auto"/>
        </w:rPr>
        <w:t xml:space="preserve"> </w:t>
      </w:r>
      <w:r>
        <w:rPr>
          <w:spacing w:val="3"/>
          <w:u w:val="single" w:color="auto"/>
        </w:rPr>
        <w:t>，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91-3</w:t>
      </w:r>
      <w:r>
        <w:rPr>
          <w:rFonts w:ascii="Times New Roman" w:hAnsi="Times New Roman" w:eastAsia="Times New Roman" w:cs="Times New Roman"/>
          <w:spacing w:val="19"/>
          <w:u w:val="single" w:color="auto"/>
        </w:rPr>
        <w:t xml:space="preserve"> </w:t>
      </w:r>
      <w:r>
        <w:rPr>
          <w:spacing w:val="3"/>
          <w:u w:val="single" w:color="auto"/>
        </w:rPr>
        <w:t>矿体标高为</w:t>
      </w:r>
      <w:r>
        <w:rPr>
          <w:spacing w:val="-5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u w:val="single" w:color="auto"/>
        </w:rPr>
        <w:t>4650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>m</w:t>
      </w:r>
      <w:r>
        <w:rPr>
          <w:rFonts w:ascii="Times New Roman" w:hAnsi="Times New Roman" w:eastAsia="Times New Roman" w:cs="Times New Roman"/>
          <w:spacing w:val="-25"/>
          <w:u w:val="single" w:color="auto"/>
        </w:rPr>
        <w:t xml:space="preserve"> </w:t>
      </w:r>
      <w:r>
        <w:rPr>
          <w:spacing w:val="9"/>
          <w:u w:val="single" w:color="auto"/>
        </w:rPr>
        <w:t>，三个矿体均已开采，企业未采用自上而下开采顺序进行开采。符合《金属非金</w:t>
      </w:r>
      <w:r>
        <w:rPr>
          <w:spacing w:val="8"/>
          <w:u w:val="single" w:color="auto"/>
        </w:rPr>
        <w:t>属矿山重大</w:t>
      </w:r>
      <w:r>
        <w:t xml:space="preserve">  </w:t>
      </w:r>
      <w:r>
        <w:rPr>
          <w:spacing w:val="9"/>
          <w:u w:val="single" w:color="auto"/>
        </w:rPr>
        <w:t>事故隐患判定标准》二、金属非金属露天矿山重大事故隐患部分第三项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>“</w:t>
      </w:r>
      <w:r>
        <w:rPr>
          <w:rFonts w:ascii="Times New Roman" w:hAnsi="Times New Roman" w:eastAsia="Times New Roman" w:cs="Times New Roman"/>
          <w:spacing w:val="-32"/>
          <w:u w:val="single" w:color="auto"/>
        </w:rPr>
        <w:t xml:space="preserve"> </w:t>
      </w:r>
      <w:r>
        <w:rPr>
          <w:spacing w:val="9"/>
          <w:u w:val="single" w:color="auto"/>
        </w:rPr>
        <w:t>未采用自上而下的开采</w:t>
      </w:r>
      <w:r>
        <w:t xml:space="preserve"> </w:t>
      </w:r>
      <w:r>
        <w:rPr>
          <w:spacing w:val="8"/>
          <w:u w:val="single" w:color="auto"/>
        </w:rPr>
        <w:t>顺序分台阶或分层开采</w:t>
      </w:r>
      <w:r>
        <w:rPr>
          <w:rFonts w:ascii="Times New Roman" w:hAnsi="Times New Roman" w:eastAsia="Times New Roman" w:cs="Times New Roman"/>
          <w:spacing w:val="8"/>
          <w:u w:val="single" w:color="auto"/>
        </w:rPr>
        <w:t>”</w:t>
      </w:r>
      <w:r>
        <w:rPr>
          <w:rFonts w:ascii="Times New Roman" w:hAnsi="Times New Roman" w:eastAsia="Times New Roman" w:cs="Times New Roman"/>
          <w:spacing w:val="-28"/>
          <w:u w:val="single" w:color="auto"/>
        </w:rPr>
        <w:t xml:space="preserve"> </w:t>
      </w:r>
      <w:r>
        <w:rPr>
          <w:spacing w:val="8"/>
          <w:u w:val="single" w:color="auto"/>
        </w:rPr>
        <w:t>的要求。</w:t>
      </w:r>
      <w:r>
        <w:rPr>
          <w:rFonts w:ascii="Times New Roman" w:hAnsi="Times New Roman" w:eastAsia="Times New Roman" w:cs="Times New Roman"/>
          <w:spacing w:val="8"/>
          <w:u w:val="single" w:color="auto"/>
        </w:rPr>
        <w:t>2</w:t>
      </w:r>
      <w:r>
        <w:rPr>
          <w:rFonts w:ascii="Times New Roman" w:hAnsi="Times New Roman" w:eastAsia="Times New Roman" w:cs="Times New Roman"/>
          <w:spacing w:val="-24"/>
          <w:u w:val="single" w:color="auto"/>
        </w:rPr>
        <w:t xml:space="preserve"> </w:t>
      </w:r>
      <w:r>
        <w:rPr>
          <w:spacing w:val="8"/>
          <w:u w:val="single" w:color="auto"/>
        </w:rPr>
        <w:t>、新疆东力矿业投资有限公司阿克塔斯锂矿未按国家有关规</w:t>
      </w:r>
      <w:r>
        <w:t xml:space="preserve">  </w:t>
      </w:r>
      <w:r>
        <w:rPr>
          <w:spacing w:val="10"/>
          <w:u w:val="single" w:color="auto"/>
        </w:rPr>
        <w:t>定对安全设施进行审查，现场已开始组织生产建设。违反《中华人民</w:t>
      </w:r>
      <w:r>
        <w:rPr>
          <w:spacing w:val="9"/>
          <w:u w:val="single" w:color="auto"/>
        </w:rPr>
        <w:t>共和国安全生产法》第三</w:t>
      </w:r>
      <w:r>
        <w:t xml:space="preserve">  </w:t>
      </w:r>
      <w:r>
        <w:rPr>
          <w:spacing w:val="9"/>
          <w:u w:val="single" w:color="auto"/>
        </w:rPr>
        <w:t>十三条第二款</w:t>
      </w:r>
      <w:r>
        <w:rPr>
          <w:rFonts w:ascii="Times New Roman" w:hAnsi="Times New Roman" w:eastAsia="Times New Roman" w:cs="Times New Roman"/>
          <w:spacing w:val="9"/>
          <w:u w:val="single" w:color="auto"/>
        </w:rPr>
        <w:t>“</w:t>
      </w:r>
      <w:r>
        <w:rPr>
          <w:rFonts w:ascii="Times New Roman" w:hAnsi="Times New Roman" w:eastAsia="Times New Roman" w:cs="Times New Roman"/>
          <w:spacing w:val="-32"/>
          <w:u w:val="single" w:color="auto"/>
        </w:rPr>
        <w:t xml:space="preserve"> </w:t>
      </w:r>
      <w:r>
        <w:rPr>
          <w:spacing w:val="9"/>
          <w:u w:val="single" w:color="auto"/>
        </w:rPr>
        <w:t>矿山建设项目和用于生产、储存危险物品的建设项目的安全设施设计应当按照国</w:t>
      </w:r>
    </w:p>
    <w:p>
      <w:pPr>
        <w:pStyle w:val="2"/>
        <w:spacing w:before="1" w:line="229" w:lineRule="auto"/>
        <w:ind w:left="90"/>
      </w:pPr>
      <w:r>
        <w:rPr>
          <w:spacing w:val="7"/>
          <w:u w:val="single" w:color="auto"/>
        </w:rPr>
        <w:t>家有关规定报经有关部门审查，审查部门及其负责审查的人员对审查结果负责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>”</w:t>
      </w:r>
      <w:r>
        <w:rPr>
          <w:rFonts w:ascii="Times New Roman" w:hAnsi="Times New Roman" w:eastAsia="Times New Roman" w:cs="Times New Roman"/>
          <w:spacing w:val="-28"/>
          <w:u w:val="single" w:color="auto"/>
        </w:rPr>
        <w:t xml:space="preserve"> </w:t>
      </w:r>
      <w:r>
        <w:rPr>
          <w:spacing w:val="6"/>
          <w:u w:val="single" w:color="auto"/>
        </w:rPr>
        <w:t xml:space="preserve">的规定。       </w:t>
      </w:r>
    </w:p>
    <w:p>
      <w:pPr>
        <w:pStyle w:val="2"/>
        <w:spacing w:before="270" w:line="447" w:lineRule="auto"/>
        <w:ind w:left="93" w:right="228" w:firstLine="471"/>
      </w:pPr>
      <w:r>
        <w:rPr>
          <w:spacing w:val="6"/>
          <w:u w:val="single" w:color="auto"/>
        </w:rPr>
        <w:t>以上事实违反了《金属非金属矿山安全规程</w:t>
      </w:r>
      <w:r>
        <w:rPr>
          <w:spacing w:val="-5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>2020</w:t>
      </w:r>
      <w:r>
        <w:rPr>
          <w:spacing w:val="6"/>
          <w:u w:val="single" w:color="auto"/>
        </w:rPr>
        <w:t>》</w:t>
      </w:r>
      <w:r>
        <w:fldChar w:fldCharType="begin"/>
      </w:r>
      <w:r>
        <w:instrText xml:space="preserve"> HYPERLINK "5.2.1.1"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5"/>
          <w:u w:val="single" w:color="auto"/>
        </w:rPr>
        <w:t>5.2.1.1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spacing w:val="-23"/>
          <w:u w:val="single" w:color="auto"/>
        </w:rPr>
        <w:t xml:space="preserve"> </w:t>
      </w:r>
      <w:r>
        <w:rPr>
          <w:spacing w:val="5"/>
          <w:u w:val="single" w:color="auto"/>
        </w:rPr>
        <w:t>、</w:t>
      </w:r>
      <w:r>
        <w:rPr>
          <w:spacing w:val="-62"/>
          <w:u w:val="single" w:color="auto"/>
        </w:rPr>
        <w:t xml:space="preserve"> </w:t>
      </w:r>
      <w:r>
        <w:rPr>
          <w:spacing w:val="5"/>
          <w:u w:val="single" w:color="auto"/>
        </w:rPr>
        <w:t>中华人民共和国安全生产法第</w:t>
      </w:r>
      <w:r>
        <w:t xml:space="preserve"> </w:t>
      </w:r>
      <w:r>
        <w:rPr>
          <w:spacing w:val="8"/>
          <w:u w:val="single" w:color="auto"/>
        </w:rPr>
        <w:t>三十三条第二款的规定。依据《安全生产违法行为行政处罚办法》第四十五条、</w:t>
      </w:r>
      <w:r>
        <w:rPr>
          <w:spacing w:val="-62"/>
          <w:u w:val="single" w:color="auto"/>
        </w:rPr>
        <w:t xml:space="preserve"> </w:t>
      </w:r>
      <w:r>
        <w:rPr>
          <w:spacing w:val="8"/>
          <w:u w:val="single" w:color="auto"/>
        </w:rPr>
        <w:t>中华人</w:t>
      </w:r>
      <w:r>
        <w:rPr>
          <w:spacing w:val="7"/>
          <w:u w:val="single" w:color="auto"/>
        </w:rPr>
        <w:t>民共和</w:t>
      </w:r>
    </w:p>
    <w:p>
      <w:pPr>
        <w:pStyle w:val="2"/>
        <w:spacing w:line="229" w:lineRule="auto"/>
        <w:ind w:left="114"/>
      </w:pPr>
      <w:r>
        <w:rPr>
          <w:spacing w:val="6"/>
          <w:u w:val="single" w:color="auto"/>
        </w:rPr>
        <w:t>国安全生产法第九十八条第二项的规定，处人民币</w:t>
      </w:r>
      <w:r>
        <w:rPr>
          <w:spacing w:val="-4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6"/>
          <w:u w:val="single" w:color="auto"/>
        </w:rPr>
        <w:t>30000</w:t>
      </w:r>
      <w:r>
        <w:rPr>
          <w:rFonts w:ascii="Times New Roman" w:hAnsi="Times New Roman" w:eastAsia="Times New Roman" w:cs="Times New Roman"/>
          <w:spacing w:val="23"/>
          <w:u w:val="single" w:color="auto"/>
        </w:rPr>
        <w:t xml:space="preserve"> </w:t>
      </w:r>
      <w:r>
        <w:rPr>
          <w:spacing w:val="6"/>
          <w:u w:val="single" w:color="auto"/>
        </w:rPr>
        <w:t>元（叁万元整）</w:t>
      </w:r>
      <w:r>
        <w:rPr>
          <w:spacing w:val="5"/>
          <w:u w:val="single" w:color="auto"/>
        </w:rPr>
        <w:t xml:space="preserve">罚款的行政处罚。    </w:t>
      </w:r>
    </w:p>
    <w:p>
      <w:pPr>
        <w:pStyle w:val="2"/>
        <w:spacing w:before="272" w:line="447" w:lineRule="auto"/>
        <w:ind w:left="541"/>
        <w:rPr>
          <w:rFonts w:ascii="Times New Roman" w:hAnsi="Times New Roman" w:eastAsia="Times New Roman" w:cs="Times New Roman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524510</wp:posOffset>
            </wp:positionV>
            <wp:extent cx="1587500" cy="1587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处以罚款的，罚款自收到本决定书之日起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15  </w:t>
      </w:r>
      <w:r>
        <w:rPr>
          <w:spacing w:val="6"/>
        </w:rPr>
        <w:t>日内缴至</w:t>
      </w:r>
      <w:r>
        <w:rPr>
          <w:spacing w:val="6"/>
          <w:u w:val="single" w:color="auto"/>
        </w:rPr>
        <w:t>中国工商银</w:t>
      </w:r>
      <w:r>
        <w:rPr>
          <w:spacing w:val="5"/>
          <w:u w:val="single" w:color="auto"/>
        </w:rPr>
        <w:t>行</w:t>
      </w:r>
      <w:r>
        <w:rPr>
          <w:spacing w:val="5"/>
        </w:rPr>
        <w:t>，账号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3015381429200</w:t>
      </w:r>
    </w:p>
    <w:p>
      <w:pPr>
        <w:pStyle w:val="2"/>
        <w:spacing w:line="229" w:lineRule="auto"/>
        <w:ind w:left="80"/>
      </w:pPr>
      <w:r>
        <w:rPr>
          <w:rFonts w:ascii="Times New Roman" w:hAnsi="Times New Roman" w:eastAsia="Times New Roman" w:cs="Times New Roman"/>
          <w:spacing w:val="17"/>
          <w:u w:val="single" w:color="auto"/>
        </w:rPr>
        <w:t>004630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spacing w:val="17"/>
        </w:rPr>
        <w:t>。</w:t>
      </w:r>
      <w:r>
        <w:rPr>
          <w:spacing w:val="17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到期不缴纳罚款的，本机关有权依据《中华人民共和国行政处罚法》</w:t>
      </w:r>
      <w:r>
        <w:rPr>
          <w:spacing w:val="-53"/>
        </w:rPr>
        <w:t xml:space="preserve"> </w:t>
      </w:r>
      <w:r>
        <w:rPr>
          <w:spacing w:val="17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第七十二条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65" w:line="232" w:lineRule="auto"/>
        <w:ind w:left="7738"/>
        <w:rPr>
          <w:sz w:val="20"/>
          <w:szCs w:val="20"/>
        </w:rPr>
      </w:pPr>
      <w:r>
        <w:rPr>
          <w:spacing w:val="8"/>
          <w:sz w:val="20"/>
          <w:szCs w:val="20"/>
        </w:rPr>
        <w:t>和田县应急管理局</w:t>
      </w:r>
    </w:p>
    <w:p>
      <w:pPr>
        <w:pStyle w:val="2"/>
        <w:spacing w:before="9" w:line="221" w:lineRule="auto"/>
        <w:ind w:left="8313"/>
        <w:rPr>
          <w:sz w:val="15"/>
          <w:szCs w:val="15"/>
        </w:rPr>
      </w:pPr>
      <w:r>
        <w:rPr>
          <w:color w:val="EEEEEE"/>
          <w:spacing w:val="-3"/>
          <w:sz w:val="15"/>
          <w:szCs w:val="15"/>
        </w:rPr>
        <w:t>（印章）</w:t>
      </w:r>
    </w:p>
    <w:p>
      <w:pPr>
        <w:pStyle w:val="2"/>
        <w:spacing w:line="230" w:lineRule="auto"/>
        <w:ind w:left="7828"/>
      </w:pP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年</w:t>
      </w: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spacing w:val="6"/>
        </w:rPr>
        <w:t>月</w:t>
      </w:r>
      <w:r>
        <w:rPr>
          <w:rFonts w:ascii="Times New Roman" w:hAnsi="Times New Roman" w:eastAsia="Times New Roman" w:cs="Times New Roman"/>
          <w:spacing w:val="6"/>
        </w:rPr>
        <w:t>22</w:t>
      </w:r>
      <w:r>
        <w:rPr>
          <w:spacing w:val="6"/>
        </w:rPr>
        <w:t>日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" w:line="30" w:lineRule="exact"/>
      </w:pPr>
      <w:r>
        <w:pict>
          <v:shape id="_x0000_s1028" o:spid="_x0000_s1028" style="height:1.5pt;width:506.65pt;" filled="f" stroked="t" coordsize="10132,30" path="m0,15l10132,15e">
            <v:fill on="f" focussize="0,0"/>
            <v:stroke weight="1.5pt" color="#000000" miterlimit="100" joinstyle="miter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69" w:line="173" w:lineRule="auto"/>
        <w:ind w:left="88"/>
      </w:pPr>
      <w:r>
        <w:rPr>
          <w:spacing w:val="9"/>
        </w:rPr>
        <w:t>本文书一式两份：一份由应急管理部门备案，</w:t>
      </w:r>
      <w:r>
        <w:rPr>
          <w:spacing w:val="8"/>
        </w:rPr>
        <w:t>一份交被处罚人（单位）。</w:t>
      </w:r>
    </w:p>
    <w:p>
      <w:pPr>
        <w:pStyle w:val="2"/>
        <w:spacing w:before="1" w:line="205" w:lineRule="auto"/>
        <w:ind w:left="8763"/>
      </w:pPr>
      <w:r>
        <w:t>共</w:t>
      </w:r>
      <w:r>
        <w:rPr>
          <w:rFonts w:ascii="Times New Roman" w:hAnsi="Times New Roman" w:eastAsia="Times New Roman" w:cs="Times New Roman"/>
        </w:rPr>
        <w:t>2</w:t>
      </w:r>
      <w:r>
        <w:t>页</w:t>
      </w:r>
      <w:r>
        <w:rPr>
          <w:spacing w:val="31"/>
        </w:rPr>
        <w:t xml:space="preserve"> </w:t>
      </w:r>
      <w:r>
        <w:t>第</w:t>
      </w:r>
      <w:r>
        <w:rPr>
          <w:rFonts w:ascii="Times New Roman" w:hAnsi="Times New Roman" w:eastAsia="Times New Roman" w:cs="Times New Roman"/>
        </w:rPr>
        <w:t>1</w:t>
      </w:r>
      <w:r>
        <w:t>页</w:t>
      </w:r>
    </w:p>
    <w:p>
      <w:pPr>
        <w:spacing w:line="205" w:lineRule="auto"/>
        <w:sectPr>
          <w:pgSz w:w="11840" w:h="16780"/>
          <w:pgMar w:top="1235" w:right="849" w:bottom="0" w:left="858" w:header="0" w:footer="0" w:gutter="0"/>
          <w:cols w:space="720" w:num="1"/>
        </w:sectPr>
      </w:pPr>
    </w:p>
    <w:p>
      <w:pPr>
        <w:spacing w:before="204" w:line="1020" w:lineRule="exact"/>
        <w:ind w:left="8571"/>
      </w:pPr>
      <w:r>
        <w:rPr>
          <w:position w:val="-20"/>
        </w:rPr>
        <w:drawing>
          <wp:inline distT="0" distB="0" distL="0" distR="0">
            <wp:extent cx="683895" cy="647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1" cy="6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 w:line="234" w:lineRule="auto"/>
        <w:ind w:left="847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7"/>
          <w:sz w:val="12"/>
          <w:szCs w:val="12"/>
        </w:rPr>
        <w:t>（扫描查收电子文书）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75" w:line="557" w:lineRule="exact"/>
        <w:ind w:left="97"/>
      </w:pPr>
      <w:r>
        <w:rPr>
          <w:spacing w:val="21"/>
          <w:position w:val="24"/>
          <w14:textOutline w14:w="3136" w14:cap="sq" w14:cmpd="sng">
            <w14:solidFill>
              <w14:srgbClr w14:val="000000"/>
            </w14:solidFill>
            <w14:prstDash w14:val="solid"/>
            <w14:miter w14:val="10"/>
          </w14:textOutline>
        </w:rPr>
        <w:t>第一款第一项的规定，每日按罚款数额的</w:t>
      </w:r>
      <w:r>
        <w:rPr>
          <w:spacing w:val="-38"/>
          <w:position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1"/>
          <w:position w:val="24"/>
        </w:rPr>
        <w:t>3%</w:t>
      </w:r>
      <w:r>
        <w:rPr>
          <w:spacing w:val="21"/>
          <w:position w:val="24"/>
          <w14:textOutline w14:w="3136" w14:cap="sq" w14:cmpd="sng">
            <w14:solidFill>
              <w14:srgbClr w14:val="000000"/>
            </w14:solidFill>
            <w14:prstDash w14:val="solid"/>
            <w14:miter w14:val="10"/>
          </w14:textOutline>
        </w:rPr>
        <w:t>加处罚</w:t>
      </w:r>
      <w:r>
        <w:rPr>
          <w:spacing w:val="20"/>
          <w:position w:val="24"/>
          <w14:textOutline w14:w="3136" w14:cap="sq" w14:cmpd="sng">
            <w14:solidFill>
              <w14:srgbClr w14:val="000000"/>
            </w14:solidFill>
            <w14:prstDash w14:val="solid"/>
            <w14:miter w14:val="10"/>
          </w14:textOutline>
        </w:rPr>
        <w:t>款，加处罚款的数额不超出罚款的数</w:t>
      </w:r>
    </w:p>
    <w:p>
      <w:pPr>
        <w:pStyle w:val="2"/>
        <w:spacing w:line="231" w:lineRule="auto"/>
        <w:ind w:left="86"/>
      </w:pPr>
      <w:r>
        <w:rPr>
          <w:spacing w:val="-3"/>
          <w14:textOutline w14:w="3136" w14:cap="sq" w14:cmpd="sng">
            <w14:solidFill>
              <w14:srgbClr w14:val="000000"/>
            </w14:solidFill>
            <w14:prstDash w14:val="solid"/>
            <w14:miter w14:val="10"/>
          </w14:textOutline>
        </w:rPr>
        <w:t>额。</w:t>
      </w:r>
    </w:p>
    <w:p>
      <w:pPr>
        <w:pStyle w:val="2"/>
        <w:spacing w:before="268" w:line="447" w:lineRule="auto"/>
        <w:ind w:left="116" w:right="133" w:firstLine="426"/>
        <w:jc w:val="both"/>
      </w:pPr>
      <w:r>
        <w:rPr>
          <w:spacing w:val="6"/>
        </w:rPr>
        <w:t>如果不服本处罚决定，可以依法在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60  </w:t>
      </w:r>
      <w:r>
        <w:rPr>
          <w:spacing w:val="6"/>
        </w:rPr>
        <w:t>日内向</w:t>
      </w:r>
      <w:r>
        <w:rPr>
          <w:spacing w:val="6"/>
          <w:u w:val="single" w:color="auto"/>
        </w:rPr>
        <w:t>和田县人民政府</w:t>
      </w:r>
      <w:r>
        <w:rPr>
          <w:spacing w:val="6"/>
        </w:rPr>
        <w:t>申请行政复议，或者在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6"/>
        </w:rPr>
        <w:t>个月</w:t>
      </w:r>
      <w:r>
        <w:t xml:space="preserve"> </w:t>
      </w:r>
      <w:r>
        <w:rPr>
          <w:spacing w:val="9"/>
        </w:rPr>
        <w:t>内依法向</w:t>
      </w:r>
      <w:r>
        <w:rPr>
          <w:spacing w:val="9"/>
          <w:u w:val="single" w:color="auto"/>
        </w:rPr>
        <w:t>和田县人民法院</w:t>
      </w:r>
      <w:r>
        <w:rPr>
          <w:spacing w:val="9"/>
        </w:rPr>
        <w:t>提起行政诉讼，但本</w:t>
      </w:r>
      <w:r>
        <w:rPr>
          <w:spacing w:val="8"/>
        </w:rPr>
        <w:t xml:space="preserve">决定不停止执行，法律另有规定的除外。逾期不 </w:t>
      </w:r>
      <w:r>
        <w:rPr>
          <w:spacing w:val="9"/>
        </w:rPr>
        <w:t>申请行政复议、不提起行政诉讼又不履行的，本机关将依法申请</w:t>
      </w:r>
      <w:r>
        <w:rPr>
          <w:spacing w:val="8"/>
        </w:rPr>
        <w:t>人民法院强制执行或者依照有</w:t>
      </w:r>
    </w:p>
    <w:p>
      <w:pPr>
        <w:pStyle w:val="2"/>
        <w:spacing w:line="229" w:lineRule="auto"/>
        <w:ind w:left="93"/>
      </w:pPr>
      <w:r>
        <w:rPr>
          <w:spacing w:val="5"/>
        </w:rPr>
        <w:t>关规定强制执行。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" w:line="30" w:lineRule="exact"/>
      </w:pPr>
      <w:r>
        <w:pict>
          <v:shape id="_x0000_s1029" o:spid="_x0000_s1029" style="height:1.5pt;width:506.65pt;" filled="f" stroked="t" coordsize="10132,30" path="m0,15l10132,15e">
            <v:fill on="f" focussize="0,0"/>
            <v:stroke weight="1.5pt" color="#000000" miterlimit="100" joinstyle="miter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68" w:line="173" w:lineRule="auto"/>
        <w:ind w:left="88"/>
      </w:pPr>
      <w:r>
        <w:pict>
          <v:shape id="_x0000_s1030" o:spid="_x0000_s1030" o:spt="202" type="#_x0000_t202" style="position:absolute;left:0pt;margin-left:385.9pt;margin-top:-54.7pt;height:38.4pt;width:85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2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和田县应急管理局</w:t>
                  </w:r>
                </w:p>
                <w:p>
                  <w:pPr>
                    <w:pStyle w:val="2"/>
                    <w:spacing w:before="8" w:line="221" w:lineRule="auto"/>
                    <w:ind w:left="594"/>
                    <w:rPr>
                      <w:sz w:val="15"/>
                      <w:szCs w:val="15"/>
                    </w:rPr>
                  </w:pPr>
                  <w:r>
                    <w:rPr>
                      <w:color w:val="EEEEEE"/>
                      <w:spacing w:val="-3"/>
                      <w:sz w:val="15"/>
                      <w:szCs w:val="15"/>
                    </w:rPr>
                    <w:t>（印章）</w:t>
                  </w:r>
                </w:p>
                <w:p>
                  <w:pPr>
                    <w:pStyle w:val="2"/>
                    <w:spacing w:line="230" w:lineRule="auto"/>
                    <w:ind w:left="109"/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2024</w:t>
                  </w:r>
                  <w:r>
                    <w:rPr>
                      <w:spacing w:val="6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7</w:t>
                  </w:r>
                  <w:r>
                    <w:rPr>
                      <w:spacing w:val="6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22</w:t>
                  </w:r>
                  <w:r>
                    <w:rPr>
                      <w:spacing w:val="6"/>
                    </w:rPr>
                    <w:t>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-1233170</wp:posOffset>
            </wp:positionV>
            <wp:extent cx="1587500" cy="15875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本文书一式两份：一份由应急管理部门备案，</w:t>
      </w:r>
      <w:r>
        <w:rPr>
          <w:spacing w:val="8"/>
        </w:rPr>
        <w:t>一份交被处罚人（单位）。</w:t>
      </w:r>
    </w:p>
    <w:p>
      <w:pPr>
        <w:pStyle w:val="2"/>
        <w:spacing w:before="2" w:line="205" w:lineRule="auto"/>
        <w:ind w:left="8763"/>
      </w:pPr>
      <w:r>
        <w:t>共</w:t>
      </w:r>
      <w:r>
        <w:rPr>
          <w:rFonts w:ascii="Times New Roman" w:hAnsi="Times New Roman" w:eastAsia="Times New Roman" w:cs="Times New Roman"/>
        </w:rPr>
        <w:t>2</w:t>
      </w:r>
      <w:r>
        <w:t>页</w:t>
      </w:r>
      <w:r>
        <w:rPr>
          <w:spacing w:val="31"/>
        </w:rPr>
        <w:t xml:space="preserve"> </w:t>
      </w:r>
      <w:r>
        <w:t>第</w:t>
      </w:r>
      <w:r>
        <w:rPr>
          <w:rFonts w:ascii="Times New Roman" w:hAnsi="Times New Roman" w:eastAsia="Times New Roman" w:cs="Times New Roman"/>
        </w:rPr>
        <w:t>2</w:t>
      </w:r>
      <w:r>
        <w:t>页</w:t>
      </w:r>
    </w:p>
    <w:sectPr>
      <w:pgSz w:w="11840" w:h="16780"/>
      <w:pgMar w:top="181" w:right="849" w:bottom="0" w:left="8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mYjBlOTc2MjA2MTg0OTdhNDUxYmNlZmIwYmMwOTIifQ=="/>
  </w:docVars>
  <w:rsids>
    <w:rsidRoot w:val="00000000"/>
    <w:rsid w:val="760D3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2024-07-26T12:47:00Z</dcterms:created>
  <dc:creator>Lenovo</dc:creator>
  <cp:lastModifiedBy>FOR</cp:lastModifiedBy>
  <dcterms:modified xsi:type="dcterms:W3CDTF">2024-07-26T04:49:08Z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2024-07-26T12:48:43Z</vt:filetime>
  </property>
  <property fmtid="{D5CDD505-2E9C-101B-9397-08002B2CF9AE}" pid="4" name="KSOProductBuildVer">
    <vt:lpwstr>2052-12.1.0.15946</vt:lpwstr>
  </property>
  <property fmtid="{D5CDD505-2E9C-101B-9397-08002B2CF9AE}" pid="5" name="ICV">
    <vt:lpwstr>0032156EF1E847EFBE6F8BFAD195FD33_12</vt:lpwstr>
  </property>
</Properties>
</file>