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DAAC3">
      <w:pPr>
        <w:pStyle w:val="10"/>
        <w:rPr>
          <w:rFonts w:hint="eastAsia" w:ascii="仿宋_GB2312" w:hAnsi="仿宋_GB2312" w:eastAsia="仿宋_GB2312" w:cs="仿宋_GB2312"/>
          <w:color w:val="auto"/>
          <w:sz w:val="32"/>
          <w:szCs w:val="32"/>
        </w:rPr>
      </w:pPr>
      <w:r>
        <w:rPr>
          <w:color w:val="auto"/>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616585</wp:posOffset>
                </wp:positionV>
                <wp:extent cx="5669915" cy="5715"/>
                <wp:effectExtent l="0" t="25400" r="6985" b="26035"/>
                <wp:wrapNone/>
                <wp:docPr id="1" name="直接连接符 1"/>
                <wp:cNvGraphicFramePr/>
                <a:graphic xmlns:a="http://schemas.openxmlformats.org/drawingml/2006/main">
                  <a:graphicData uri="http://schemas.microsoft.com/office/word/2010/wordprocessingShape">
                    <wps:wsp>
                      <wps:cNvCnPr/>
                      <wps:spPr>
                        <a:xfrm>
                          <a:off x="0" y="0"/>
                          <a:ext cx="5669915" cy="5715"/>
                        </a:xfrm>
                        <a:prstGeom prst="line">
                          <a:avLst/>
                        </a:prstGeom>
                        <a:noFill/>
                        <a:ln w="5080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1.65pt;margin-top:48.55pt;height:0.45pt;width:446.45pt;z-index:251659264;mso-width-relative:page;mso-height-relative:page;" filled="f" stroked="t" coordsize="21600,21600" o:gfxdata="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x3elT2AAAAAgBAAAPAAAAAAAAAAEAIAAAACIAAABkcnMvZG93bnJldi54bWxQSwECFAAUAAAA&#10;CACHTuJAtIqKbe4BAADDAwAADgAAAAAAAAABACAAAAAnAQAAZHJzL2Uyb0RvYy54bWxQSwUGAAAA&#10;AAYABgBZAQAAhwUAAAAA&#10;">
                <v:fill on="f" focussize="0,0"/>
                <v:stroke weight="4pt" color="#FF0000" miterlimit="8" joinstyle="miter"/>
                <v:imagedata o:title=""/>
                <o:lock v:ext="edit" aspectratio="f"/>
              </v:line>
            </w:pict>
          </mc:Fallback>
        </mc:AlternateContent>
      </w:r>
      <w:r>
        <w:rPr>
          <w:rFonts w:ascii="方正小标宋简体" w:eastAsia="方正小标宋简体"/>
          <w:color w:val="auto"/>
          <w:spacing w:val="-22"/>
          <w:sz w:val="21"/>
          <w:szCs w:val="21"/>
        </w:rPr>
        <w:pict>
          <v:shape id="_x0000_i1025" o:spt="136" type="#_x0000_t136" style="height:33pt;width:445.15pt;" fillcolor="#FF0000" filled="t" stroked="f" coordsize="21600,21600" adj="10800">
            <v:path/>
            <v:fill on="t" color2="#FFFFFF" focussize="0,0"/>
            <v:stroke on="f"/>
            <v:imagedata o:title=""/>
            <o:lock v:ext="edit" aspectratio="f"/>
            <v:textpath on="t" fitshape="t" fitpath="t" trim="t" xscale="f" string="新疆维吾尔自治区和田县农业农村局" style="font-family:方正小标宋简体;font-size:28pt;font-weight:bold;v-same-letter-heights:t;v-text-align:stretch-justify;v-text-spacing:65536f;"/>
            <w10:wrap type="none"/>
            <w10:anchorlock/>
          </v:shape>
        </w:pict>
      </w:r>
    </w:p>
    <w:p w14:paraId="67618643">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eastAsia="方正小标宋简体"/>
          <w:color w:val="auto"/>
          <w:spacing w:val="-22"/>
          <w:sz w:val="52"/>
          <w:szCs w:val="52"/>
          <w:lang w:val="en-US" w:eastAsia="zh-CN"/>
        </w:rPr>
      </w:pPr>
      <w:r>
        <w:rPr>
          <w:rFonts w:hint="default" w:ascii="方正小标宋简体" w:eastAsia="方正小标宋简体"/>
          <w:color w:val="auto"/>
          <w:spacing w:val="-22"/>
          <w:sz w:val="52"/>
          <w:szCs w:val="52"/>
          <w:lang w:val="en-US" w:eastAsia="zh-CN"/>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46990</wp:posOffset>
                </wp:positionV>
                <wp:extent cx="5669915" cy="0"/>
                <wp:effectExtent l="0" t="9525" r="6985" b="9525"/>
                <wp:wrapNone/>
                <wp:docPr id="7" name="直接连接符 7"/>
                <wp:cNvGraphicFramePr/>
                <a:graphic xmlns:a="http://schemas.openxmlformats.org/drawingml/2006/main">
                  <a:graphicData uri="http://schemas.microsoft.com/office/word/2010/wordprocessingShape">
                    <wps:wsp>
                      <wps:cNvCnPr/>
                      <wps:spPr>
                        <a:xfrm>
                          <a:off x="0" y="0"/>
                          <a:ext cx="5669915" cy="0"/>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1.55pt;margin-top:3.7pt;height:0pt;width:446.45pt;z-index:251660288;mso-width-relative:page;mso-height-relative:page;" filled="f" stroked="t" coordsize="21600,21600" o:gfxdata="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adiC/S&#10;AAAABgEAAA8AAAAAAAAAAQAgAAAAIgAAAGRycy9kb3ducmV2LnhtbFBLAQIUABQAAAAIAIdO4kBC&#10;9PMk7QEAAMADAAAOAAAAAAAAAAEAIAAAACEBAABkcnMvZTJvRG9jLnhtbFBLBQYAAAAABgAGAFkB&#10;AACABQAAAAA=&#10;">
                <v:fill on="f" focussize="0,0"/>
                <v:stroke weight="1.5pt" color="#FF0000" miterlimit="8" joinstyle="miter"/>
                <v:imagedata o:title=""/>
                <o:lock v:ext="edit" aspectratio="f"/>
              </v:line>
            </w:pict>
          </mc:Fallback>
        </mc:AlternateContent>
      </w:r>
    </w:p>
    <w:p w14:paraId="7F7C750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rPr>
      </w:pPr>
      <w:r>
        <w:rPr>
          <w:rFonts w:hint="eastAsia" w:ascii="方正小标宋简体" w:hAnsi="方正小标宋简体" w:eastAsia="方正小标宋简体" w:cs="方正小标宋简体"/>
          <w:color w:val="auto"/>
          <w:sz w:val="44"/>
          <w:szCs w:val="44"/>
          <w:lang w:eastAsia="zh-CN"/>
        </w:rPr>
        <w:t>《和田县农村土地承包经营权和地上附着物抵押登记管理办法》</w:t>
      </w:r>
      <w:r>
        <w:rPr>
          <w:rFonts w:hint="eastAsia" w:ascii="方正小标宋简体" w:hAnsi="方正小标宋简体" w:eastAsia="方正小标宋简体" w:cs="方正小标宋简体"/>
          <w:i w:val="0"/>
          <w:iCs w:val="0"/>
          <w:caps w:val="0"/>
          <w:color w:val="auto"/>
          <w:spacing w:val="0"/>
          <w:sz w:val="44"/>
          <w:szCs w:val="44"/>
        </w:rPr>
        <w:t>政策解读</w:t>
      </w:r>
    </w:p>
    <w:p w14:paraId="70EAD4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880" w:firstLineChars="200"/>
        <w:jc w:val="left"/>
        <w:textAlignment w:val="auto"/>
        <w:rPr>
          <w:rFonts w:hint="eastAsia" w:ascii="方正小标宋简体" w:hAnsi="方正小标宋简体" w:eastAsia="方正小标宋简体" w:cs="方正小标宋简体"/>
          <w:i w:val="0"/>
          <w:iCs w:val="0"/>
          <w:caps w:val="0"/>
          <w:color w:val="auto"/>
          <w:spacing w:val="0"/>
          <w:sz w:val="44"/>
          <w:szCs w:val="44"/>
        </w:rPr>
      </w:pPr>
    </w:p>
    <w:p w14:paraId="58F3DA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i w:val="0"/>
          <w:iCs w:val="0"/>
          <w:caps w:val="0"/>
          <w:color w:val="auto"/>
          <w:spacing w:val="0"/>
          <w:sz w:val="32"/>
          <w:szCs w:val="32"/>
        </w:rPr>
        <w:t>一、办法制定的必要性和可行性</w:t>
      </w:r>
    </w:p>
    <w:p w14:paraId="6D8EBD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为深化农村产权制度改革，优化农村土地资源配置，拓宽融资渠道，建立完善金融服务乡村振兴的市场体系，更好的满足乡村振兴多样化、多层次的金融需求，</w:t>
      </w:r>
      <w:r>
        <w:rPr>
          <w:rFonts w:hint="eastAsia" w:ascii="方正仿宋简体" w:hAnsi="方正仿宋简体" w:eastAsia="方正仿宋简体" w:cs="方正仿宋简体"/>
          <w:color w:val="auto"/>
          <w:sz w:val="32"/>
          <w:szCs w:val="32"/>
          <w:lang w:val="en-US" w:eastAsia="zh-CN"/>
        </w:rPr>
        <w:t>拓宽产权抵押贷款渠道，破解抵押贷款瓶颈涉及经营主体产权抵押、登记和流转体系，使新型产权定价合理、有价有市，为新型产权抵押贷款提供基本制度保障，有利于拓宽渠道加大种养殖规模，盘活闲置资源资产。</w:t>
      </w:r>
    </w:p>
    <w:p w14:paraId="025164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i w:val="0"/>
          <w:iCs w:val="0"/>
          <w:caps w:val="0"/>
          <w:color w:val="auto"/>
          <w:spacing w:val="0"/>
          <w:sz w:val="32"/>
          <w:szCs w:val="32"/>
        </w:rPr>
        <w:t>二、办法制定依据</w:t>
      </w:r>
    </w:p>
    <w:p w14:paraId="571B29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iCs w:val="0"/>
          <w:caps w:val="0"/>
          <w:color w:val="auto"/>
          <w:spacing w:val="0"/>
          <w:sz w:val="32"/>
          <w:szCs w:val="32"/>
          <w:lang w:val="en-US" w:eastAsia="zh-CN"/>
        </w:rPr>
        <w:t>1.</w:t>
      </w:r>
      <w:r>
        <w:rPr>
          <w:rFonts w:hint="eastAsia" w:ascii="方正仿宋简体" w:hAnsi="方正仿宋简体" w:eastAsia="方正仿宋简体" w:cs="方正仿宋简体"/>
          <w:i w:val="0"/>
          <w:iCs w:val="0"/>
          <w:caps w:val="0"/>
          <w:color w:val="auto"/>
          <w:spacing w:val="0"/>
          <w:sz w:val="32"/>
          <w:szCs w:val="32"/>
        </w:rPr>
        <w:t>《</w:t>
      </w:r>
      <w:r>
        <w:rPr>
          <w:rFonts w:hint="eastAsia" w:ascii="方正仿宋简体" w:hAnsi="方正仿宋简体" w:eastAsia="方正仿宋简体" w:cs="方正仿宋简体"/>
          <w:i w:val="0"/>
          <w:iCs w:val="0"/>
          <w:caps w:val="0"/>
          <w:color w:val="auto"/>
          <w:spacing w:val="0"/>
          <w:sz w:val="32"/>
          <w:szCs w:val="32"/>
          <w:lang w:val="en-US" w:eastAsia="zh-CN"/>
        </w:rPr>
        <w:t>中华人民共和国</w:t>
      </w:r>
      <w:r>
        <w:rPr>
          <w:rFonts w:hint="eastAsia" w:ascii="方正仿宋简体" w:hAnsi="方正仿宋简体" w:eastAsia="方正仿宋简体" w:cs="方正仿宋简体"/>
          <w:i w:val="0"/>
          <w:iCs w:val="0"/>
          <w:caps w:val="0"/>
          <w:color w:val="auto"/>
          <w:spacing w:val="0"/>
          <w:sz w:val="32"/>
          <w:szCs w:val="32"/>
        </w:rPr>
        <w:t>民法典》；</w:t>
      </w:r>
    </w:p>
    <w:p w14:paraId="0E5035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i w:val="0"/>
          <w:iCs w:val="0"/>
          <w:caps w:val="0"/>
          <w:color w:val="auto"/>
          <w:spacing w:val="0"/>
          <w:sz w:val="32"/>
          <w:szCs w:val="32"/>
          <w:lang w:eastAsia="zh-CN"/>
        </w:rPr>
      </w:pPr>
      <w:r>
        <w:rPr>
          <w:rFonts w:hint="eastAsia" w:ascii="方正仿宋简体" w:hAnsi="方正仿宋简体" w:eastAsia="方正仿宋简体" w:cs="方正仿宋简体"/>
          <w:i w:val="0"/>
          <w:iCs w:val="0"/>
          <w:caps w:val="0"/>
          <w:color w:val="auto"/>
          <w:spacing w:val="0"/>
          <w:sz w:val="32"/>
          <w:szCs w:val="32"/>
          <w:lang w:val="en-US" w:eastAsia="zh-CN"/>
        </w:rPr>
        <w:t>2.</w:t>
      </w:r>
      <w:r>
        <w:rPr>
          <w:rFonts w:hint="eastAsia" w:ascii="方正仿宋简体" w:hAnsi="方正仿宋简体" w:eastAsia="方正仿宋简体" w:cs="方正仿宋简体"/>
          <w:i w:val="0"/>
          <w:iCs w:val="0"/>
          <w:caps w:val="0"/>
          <w:color w:val="auto"/>
          <w:spacing w:val="0"/>
          <w:sz w:val="32"/>
          <w:szCs w:val="32"/>
        </w:rPr>
        <w:t>《中华人民共和国农村土地承包法》</w:t>
      </w:r>
      <w:r>
        <w:rPr>
          <w:rFonts w:hint="eastAsia" w:ascii="方正仿宋简体" w:hAnsi="方正仿宋简体" w:eastAsia="方正仿宋简体" w:cs="方正仿宋简体"/>
          <w:i w:val="0"/>
          <w:iCs w:val="0"/>
          <w:caps w:val="0"/>
          <w:color w:val="auto"/>
          <w:spacing w:val="0"/>
          <w:sz w:val="32"/>
          <w:szCs w:val="32"/>
          <w:lang w:eastAsia="zh-CN"/>
        </w:rPr>
        <w:t>；</w:t>
      </w:r>
    </w:p>
    <w:p w14:paraId="5425B85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iCs w:val="0"/>
          <w:caps w:val="0"/>
          <w:color w:val="auto"/>
          <w:spacing w:val="0"/>
          <w:sz w:val="32"/>
          <w:szCs w:val="32"/>
          <w:lang w:val="en-US" w:eastAsia="zh-CN"/>
        </w:rPr>
        <w:t>3.</w:t>
      </w:r>
      <w:r>
        <w:rPr>
          <w:rFonts w:hint="eastAsia" w:ascii="方正仿宋简体" w:hAnsi="方正仿宋简体" w:eastAsia="方正仿宋简体" w:cs="方正仿宋简体"/>
          <w:i w:val="0"/>
          <w:iCs w:val="0"/>
          <w:caps w:val="0"/>
          <w:color w:val="auto"/>
          <w:spacing w:val="0"/>
          <w:sz w:val="32"/>
          <w:szCs w:val="32"/>
        </w:rPr>
        <w:t>《关于开展农村承包土地的经营权和农民住房财产权抵押贷款试点的指导意见》（国发〔2015〕45号）；</w:t>
      </w:r>
    </w:p>
    <w:p w14:paraId="2AAF5D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i w:val="0"/>
          <w:iCs w:val="0"/>
          <w:caps w:val="0"/>
          <w:color w:val="auto"/>
          <w:spacing w:val="0"/>
          <w:sz w:val="32"/>
          <w:szCs w:val="32"/>
        </w:rPr>
      </w:pPr>
      <w:r>
        <w:rPr>
          <w:rFonts w:hint="eastAsia" w:ascii="方正仿宋简体" w:hAnsi="方正仿宋简体" w:eastAsia="方正仿宋简体" w:cs="方正仿宋简体"/>
          <w:i w:val="0"/>
          <w:iCs w:val="0"/>
          <w:caps w:val="0"/>
          <w:color w:val="auto"/>
          <w:spacing w:val="0"/>
          <w:sz w:val="32"/>
          <w:szCs w:val="32"/>
          <w:lang w:val="en-US" w:eastAsia="zh-CN"/>
        </w:rPr>
        <w:t>4.</w:t>
      </w:r>
      <w:r>
        <w:rPr>
          <w:rFonts w:hint="eastAsia" w:ascii="方正仿宋简体" w:hAnsi="方正仿宋简体" w:eastAsia="方正仿宋简体" w:cs="方正仿宋简体"/>
          <w:i w:val="0"/>
          <w:iCs w:val="0"/>
          <w:caps w:val="0"/>
          <w:color w:val="auto"/>
          <w:spacing w:val="0"/>
          <w:sz w:val="32"/>
          <w:szCs w:val="32"/>
        </w:rPr>
        <w:t>《农村土地经营权流转管理办法》（农业农村部令2021年第1号）；</w:t>
      </w:r>
    </w:p>
    <w:p w14:paraId="6577E9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方正仿宋简体" w:hAnsi="方正仿宋简体" w:eastAsia="方正仿宋简体" w:cs="方正仿宋简体"/>
          <w:i w:val="0"/>
          <w:iCs w:val="0"/>
          <w:caps w:val="0"/>
          <w:color w:val="auto"/>
          <w:spacing w:val="0"/>
          <w:sz w:val="32"/>
          <w:szCs w:val="32"/>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5.《关于全面深化农村改革加快推进农业现代化的若干若干意见》</w:t>
      </w:r>
    </w:p>
    <w:p w14:paraId="3B74C084">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小标宋简体" w:eastAsia="方正小标宋简体"/>
          <w:color w:val="auto"/>
          <w:spacing w:val="-22"/>
          <w:sz w:val="52"/>
          <w:szCs w:val="52"/>
          <w:lang w:val="en-US" w:eastAsia="zh-CN"/>
        </w:rPr>
        <w:sectPr>
          <w:footerReference r:id="rId3" w:type="default"/>
          <w:pgSz w:w="11900" w:h="16838"/>
          <w:pgMar w:top="1531" w:right="1531" w:bottom="1984" w:left="1531" w:header="851" w:footer="992" w:gutter="0"/>
          <w:pgNumType w:fmt="numberInDash"/>
          <w:cols w:space="0" w:num="1"/>
          <w:rtlGutter w:val="0"/>
          <w:docGrid w:type="lines" w:linePitch="327" w:charSpace="0"/>
        </w:sectPr>
      </w:pPr>
      <w:r>
        <w:rPr>
          <w:rFonts w:hint="eastAsia" w:ascii="方正仿宋简体" w:hAnsi="方正仿宋简体" w:eastAsia="方正仿宋简体" w:cs="方正仿宋简体"/>
          <w:i w:val="0"/>
          <w:iCs w:val="0"/>
          <w:caps w:val="0"/>
          <w:color w:val="auto"/>
          <w:spacing w:val="0"/>
          <w:sz w:val="32"/>
          <w:szCs w:val="32"/>
          <w:lang w:val="en-US" w:eastAsia="zh-CN"/>
        </w:rPr>
        <w:t>6.</w:t>
      </w:r>
      <w:r>
        <w:rPr>
          <w:rFonts w:hint="eastAsia" w:ascii="方正仿宋简体" w:hAnsi="方正仿宋简体" w:eastAsia="方正仿宋简体" w:cs="方正仿宋简体"/>
          <w:i w:val="0"/>
          <w:iCs w:val="0"/>
          <w:caps w:val="0"/>
          <w:color w:val="auto"/>
          <w:spacing w:val="0"/>
          <w:sz w:val="32"/>
          <w:szCs w:val="32"/>
        </w:rPr>
        <w:t>《中国人民银行、中国银行业监督管理委员会、中国保险</w:t>
      </w:r>
    </w:p>
    <w:p w14:paraId="19552E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方正仿宋简体" w:hAnsi="方正仿宋简体" w:eastAsia="方正仿宋简体" w:cs="方正仿宋简体"/>
          <w:i w:val="0"/>
          <w:iCs w:val="0"/>
          <w:caps w:val="0"/>
          <w:color w:val="auto"/>
          <w:spacing w:val="0"/>
          <w:sz w:val="32"/>
          <w:szCs w:val="32"/>
          <w:lang w:eastAsia="zh-CN"/>
        </w:rPr>
      </w:pPr>
      <w:r>
        <w:rPr>
          <w:rFonts w:hint="eastAsia" w:ascii="方正仿宋简体" w:hAnsi="方正仿宋简体" w:eastAsia="方正仿宋简体" w:cs="方正仿宋简体"/>
          <w:i w:val="0"/>
          <w:iCs w:val="0"/>
          <w:caps w:val="0"/>
          <w:color w:val="auto"/>
          <w:spacing w:val="0"/>
          <w:sz w:val="32"/>
          <w:szCs w:val="32"/>
        </w:rPr>
        <w:t>监督管理委员会、财政部、农业部关于印发&lt;农村承包土地的经营权抵押贷款试点暂行办法&gt;的通知》（银发〔2016〕79号）</w:t>
      </w:r>
      <w:r>
        <w:rPr>
          <w:rFonts w:hint="eastAsia" w:ascii="方正仿宋简体" w:hAnsi="方正仿宋简体" w:eastAsia="方正仿宋简体" w:cs="方正仿宋简体"/>
          <w:i w:val="0"/>
          <w:iCs w:val="0"/>
          <w:caps w:val="0"/>
          <w:color w:val="auto"/>
          <w:spacing w:val="0"/>
          <w:sz w:val="32"/>
          <w:szCs w:val="32"/>
          <w:lang w:eastAsia="zh-CN"/>
        </w:rPr>
        <w:t>；</w:t>
      </w:r>
    </w:p>
    <w:p w14:paraId="532578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left"/>
        <w:textAlignment w:val="auto"/>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7.《新疆维吾尔自治区人民政府办公厅关于印 发2015年自治区农村土地承包经营权确权登记颁证整县推进试点工作实施方案的通知》 新政办发</w:t>
      </w:r>
      <w:r>
        <w:rPr>
          <w:rStyle w:val="9"/>
          <w:rFonts w:hint="eastAsia" w:ascii="方正仿宋简体" w:hAnsi="方正仿宋简体" w:eastAsia="方正仿宋简体" w:cs="方正仿宋简体"/>
          <w:b w:val="0"/>
          <w:bCs w:val="0"/>
          <w:i w:val="0"/>
          <w:iCs w:val="0"/>
          <w:caps w:val="0"/>
          <w:color w:val="auto"/>
          <w:spacing w:val="0"/>
          <w:sz w:val="32"/>
          <w:szCs w:val="32"/>
        </w:rPr>
        <w:t>〔201</w:t>
      </w:r>
      <w:r>
        <w:rPr>
          <w:rStyle w:val="9"/>
          <w:rFonts w:hint="eastAsia" w:ascii="方正仿宋简体" w:hAnsi="方正仿宋简体" w:eastAsia="方正仿宋简体" w:cs="方正仿宋简体"/>
          <w:b w:val="0"/>
          <w:bCs w:val="0"/>
          <w:i w:val="0"/>
          <w:iCs w:val="0"/>
          <w:caps w:val="0"/>
          <w:color w:val="auto"/>
          <w:spacing w:val="0"/>
          <w:sz w:val="32"/>
          <w:szCs w:val="32"/>
          <w:lang w:val="en-US" w:eastAsia="zh-CN"/>
        </w:rPr>
        <w:t>5</w:t>
      </w:r>
      <w:r>
        <w:rPr>
          <w:rStyle w:val="9"/>
          <w:rFonts w:hint="eastAsia" w:ascii="方正仿宋简体" w:hAnsi="方正仿宋简体" w:eastAsia="方正仿宋简体" w:cs="方正仿宋简体"/>
          <w:b w:val="0"/>
          <w:bCs w:val="0"/>
          <w:i w:val="0"/>
          <w:iCs w:val="0"/>
          <w:caps w:val="0"/>
          <w:color w:val="auto"/>
          <w:spacing w:val="0"/>
          <w:sz w:val="32"/>
          <w:szCs w:val="32"/>
        </w:rPr>
        <w:t>〕</w:t>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35号；</w:t>
      </w:r>
    </w:p>
    <w:p w14:paraId="7730E4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i w:val="0"/>
          <w:iCs w:val="0"/>
          <w:caps w:val="0"/>
          <w:color w:val="auto"/>
          <w:spacing w:val="0"/>
          <w:sz w:val="32"/>
          <w:szCs w:val="32"/>
          <w:lang w:val="en-US" w:eastAsia="zh-CN"/>
        </w:rPr>
        <w:t>三</w:t>
      </w:r>
      <w:r>
        <w:rPr>
          <w:rFonts w:hint="eastAsia" w:ascii="方正黑体简体" w:hAnsi="方正黑体简体" w:eastAsia="方正黑体简体" w:cs="方正黑体简体"/>
          <w:i w:val="0"/>
          <w:iCs w:val="0"/>
          <w:caps w:val="0"/>
          <w:color w:val="auto"/>
          <w:spacing w:val="0"/>
          <w:sz w:val="32"/>
          <w:szCs w:val="32"/>
        </w:rPr>
        <w:t>、</w:t>
      </w:r>
      <w:r>
        <w:rPr>
          <w:rFonts w:hint="eastAsia" w:ascii="方正黑体简体" w:hAnsi="方正黑体简体" w:eastAsia="方正黑体简体" w:cs="方正黑体简体"/>
          <w:i w:val="0"/>
          <w:iCs w:val="0"/>
          <w:caps w:val="0"/>
          <w:color w:val="auto"/>
          <w:spacing w:val="0"/>
          <w:sz w:val="32"/>
          <w:szCs w:val="32"/>
          <w:lang w:val="en-US" w:eastAsia="zh-CN"/>
        </w:rPr>
        <w:t>制定</w:t>
      </w:r>
      <w:r>
        <w:rPr>
          <w:rFonts w:hint="eastAsia" w:ascii="方正黑体简体" w:hAnsi="方正黑体简体" w:eastAsia="方正黑体简体" w:cs="方正黑体简体"/>
          <w:i w:val="0"/>
          <w:iCs w:val="0"/>
          <w:caps w:val="0"/>
          <w:color w:val="auto"/>
          <w:spacing w:val="0"/>
          <w:sz w:val="32"/>
          <w:szCs w:val="32"/>
        </w:rPr>
        <w:t>经过</w:t>
      </w:r>
    </w:p>
    <w:p w14:paraId="0EC58602">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iCs w:val="0"/>
          <w:caps w:val="0"/>
          <w:color w:val="auto"/>
          <w:spacing w:val="0"/>
          <w:sz w:val="32"/>
          <w:szCs w:val="32"/>
        </w:rPr>
        <w:t>（一）</w:t>
      </w:r>
      <w:r>
        <w:rPr>
          <w:rFonts w:hint="eastAsia" w:ascii="方正仿宋简体" w:hAnsi="方正仿宋简体" w:eastAsia="方正仿宋简体" w:cs="方正仿宋简体"/>
          <w:sz w:val="32"/>
          <w:szCs w:val="32"/>
        </w:rPr>
        <w:t>为优化农村金融制度改革环境，提升农村农业资本投入水平，解决好农业设施产权合法交易的</w:t>
      </w:r>
      <w:r>
        <w:rPr>
          <w:rFonts w:hint="eastAsia" w:ascii="方正仿宋简体" w:hAnsi="方正仿宋简体" w:eastAsia="方正仿宋简体" w:cs="方正仿宋简体"/>
          <w:sz w:val="32"/>
          <w:szCs w:val="32"/>
          <w:lang w:val="en-US" w:eastAsia="zh-CN"/>
        </w:rPr>
        <w:t>问题</w:t>
      </w:r>
      <w:r>
        <w:rPr>
          <w:rFonts w:hint="eastAsia" w:ascii="方正仿宋简体" w:hAnsi="方正仿宋简体" w:eastAsia="方正仿宋简体" w:cs="方正仿宋简体"/>
          <w:b w:val="0"/>
          <w:bCs w:val="0"/>
          <w:color w:val="auto"/>
          <w:spacing w:val="0"/>
          <w:kern w:val="2"/>
          <w:sz w:val="32"/>
          <w:szCs w:val="32"/>
          <w:lang w:val="en-US" w:eastAsia="zh-CN" w:bidi="ar-SA"/>
        </w:rPr>
        <w:t>，由农业农村局牵头，于2022年8月5日组织县直财政、自然资源、供销、林草等行业部门负责同志以及农业产业化龙头企业、金融机构负责同志，并邀请律师和地区自然资源局、农业农村局业务人员就农村土地流转经营权登记颁证相关工作进行座谈论证，并达成一致拟定了《和田县农村土地承包经营权和地上附着物抵押登记管理办法》</w:t>
      </w:r>
      <w:r>
        <w:rPr>
          <w:rFonts w:hint="eastAsia" w:ascii="方正仿宋简体" w:hAnsi="方正仿宋简体" w:eastAsia="方正仿宋简体" w:cs="方正仿宋简体"/>
          <w:i w:val="0"/>
          <w:iCs w:val="0"/>
          <w:caps w:val="0"/>
          <w:color w:val="auto"/>
          <w:spacing w:val="0"/>
          <w:sz w:val="32"/>
          <w:szCs w:val="32"/>
          <w:lang w:eastAsia="zh-CN"/>
        </w:rPr>
        <w:t>，</w:t>
      </w:r>
      <w:r>
        <w:rPr>
          <w:rFonts w:hint="eastAsia" w:ascii="方正仿宋简体" w:hAnsi="方正仿宋简体" w:eastAsia="方正仿宋简体" w:cs="方正仿宋简体"/>
          <w:i w:val="0"/>
          <w:iCs w:val="0"/>
          <w:caps w:val="0"/>
          <w:color w:val="auto"/>
          <w:spacing w:val="0"/>
          <w:sz w:val="32"/>
          <w:szCs w:val="32"/>
        </w:rPr>
        <w:t>形成征求意见稿。</w:t>
      </w:r>
    </w:p>
    <w:p w14:paraId="616475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i w:val="0"/>
          <w:iCs w:val="0"/>
          <w:caps w:val="0"/>
          <w:color w:val="auto"/>
          <w:spacing w:val="0"/>
          <w:sz w:val="32"/>
          <w:szCs w:val="32"/>
        </w:rPr>
        <w:t>（二）将征求意见稿书面向各</w:t>
      </w:r>
      <w:r>
        <w:rPr>
          <w:rFonts w:hint="eastAsia" w:ascii="方正仿宋简体" w:hAnsi="方正仿宋简体" w:eastAsia="方正仿宋简体" w:cs="方正仿宋简体"/>
          <w:b w:val="0"/>
          <w:bCs w:val="0"/>
          <w:i w:val="0"/>
          <w:iCs w:val="0"/>
          <w:caps w:val="0"/>
          <w:color w:val="auto"/>
          <w:spacing w:val="0"/>
          <w:sz w:val="32"/>
          <w:szCs w:val="32"/>
          <w:lang w:val="en-US" w:eastAsia="zh-CN"/>
        </w:rPr>
        <w:t>乡</w:t>
      </w:r>
      <w:r>
        <w:rPr>
          <w:rFonts w:hint="eastAsia" w:ascii="方正仿宋简体" w:hAnsi="方正仿宋简体" w:eastAsia="方正仿宋简体" w:cs="方正仿宋简体"/>
          <w:b w:val="0"/>
          <w:bCs w:val="0"/>
          <w:i w:val="0"/>
          <w:iCs w:val="0"/>
          <w:caps w:val="0"/>
          <w:color w:val="auto"/>
          <w:spacing w:val="0"/>
          <w:sz w:val="32"/>
          <w:szCs w:val="32"/>
        </w:rPr>
        <w:t>镇人民政府、相关部门征求意见建议，根据各</w:t>
      </w:r>
      <w:r>
        <w:rPr>
          <w:rFonts w:hint="eastAsia" w:ascii="方正仿宋简体" w:hAnsi="方正仿宋简体" w:eastAsia="方正仿宋简体" w:cs="方正仿宋简体"/>
          <w:b w:val="0"/>
          <w:bCs w:val="0"/>
          <w:i w:val="0"/>
          <w:iCs w:val="0"/>
          <w:caps w:val="0"/>
          <w:color w:val="auto"/>
          <w:spacing w:val="0"/>
          <w:sz w:val="32"/>
          <w:szCs w:val="32"/>
          <w:lang w:val="en-US" w:eastAsia="zh-CN"/>
        </w:rPr>
        <w:t>乡</w:t>
      </w:r>
      <w:r>
        <w:rPr>
          <w:rFonts w:hint="eastAsia" w:ascii="方正仿宋简体" w:hAnsi="方正仿宋简体" w:eastAsia="方正仿宋简体" w:cs="方正仿宋简体"/>
          <w:b w:val="0"/>
          <w:bCs w:val="0"/>
          <w:i w:val="0"/>
          <w:iCs w:val="0"/>
          <w:caps w:val="0"/>
          <w:color w:val="auto"/>
          <w:spacing w:val="0"/>
          <w:sz w:val="32"/>
          <w:szCs w:val="32"/>
        </w:rPr>
        <w:t>镇、</w:t>
      </w:r>
      <w:r>
        <w:rPr>
          <w:rFonts w:hint="eastAsia" w:ascii="方正仿宋简体" w:hAnsi="方正仿宋简体" w:eastAsia="方正仿宋简体" w:cs="方正仿宋简体"/>
          <w:b w:val="0"/>
          <w:bCs w:val="0"/>
          <w:i w:val="0"/>
          <w:iCs w:val="0"/>
          <w:caps w:val="0"/>
          <w:color w:val="auto"/>
          <w:spacing w:val="0"/>
          <w:sz w:val="32"/>
          <w:szCs w:val="32"/>
          <w:lang w:val="en-US" w:eastAsia="zh-CN"/>
        </w:rPr>
        <w:t>相关</w:t>
      </w:r>
      <w:r>
        <w:rPr>
          <w:rFonts w:hint="eastAsia" w:ascii="方正仿宋简体" w:hAnsi="方正仿宋简体" w:eastAsia="方正仿宋简体" w:cs="方正仿宋简体"/>
          <w:b w:val="0"/>
          <w:bCs w:val="0"/>
          <w:i w:val="0"/>
          <w:iCs w:val="0"/>
          <w:caps w:val="0"/>
          <w:color w:val="auto"/>
          <w:spacing w:val="0"/>
          <w:sz w:val="32"/>
          <w:szCs w:val="32"/>
        </w:rPr>
        <w:t>单位反馈的情况，对</w:t>
      </w:r>
      <w:r>
        <w:rPr>
          <w:rFonts w:hint="eastAsia" w:ascii="方正仿宋简体" w:hAnsi="方正仿宋简体" w:eastAsia="方正仿宋简体" w:cs="方正仿宋简体"/>
          <w:b w:val="0"/>
          <w:bCs w:val="0"/>
          <w:i w:val="0"/>
          <w:iCs w:val="0"/>
          <w:caps w:val="0"/>
          <w:color w:val="auto"/>
          <w:spacing w:val="0"/>
          <w:sz w:val="32"/>
          <w:szCs w:val="32"/>
          <w:lang w:val="en-US" w:eastAsia="zh-CN"/>
        </w:rPr>
        <w:t>四</w:t>
      </w:r>
      <w:r>
        <w:rPr>
          <w:rFonts w:hint="eastAsia" w:ascii="方正仿宋简体" w:hAnsi="方正仿宋简体" w:eastAsia="方正仿宋简体" w:cs="方正仿宋简体"/>
          <w:b w:val="0"/>
          <w:bCs w:val="0"/>
          <w:i w:val="0"/>
          <w:iCs w:val="0"/>
          <w:caps w:val="0"/>
          <w:color w:val="auto"/>
          <w:spacing w:val="0"/>
          <w:sz w:val="32"/>
          <w:szCs w:val="32"/>
        </w:rPr>
        <w:t>个办法相关内容条款进行了修改，形成修改送审稿</w:t>
      </w:r>
      <w:bookmarkStart w:id="0" w:name="_GoBack"/>
      <w:bookmarkEnd w:id="0"/>
      <w:r>
        <w:rPr>
          <w:rFonts w:hint="eastAsia" w:ascii="方正仿宋简体" w:hAnsi="方正仿宋简体" w:eastAsia="方正仿宋简体" w:cs="方正仿宋简体"/>
          <w:b w:val="0"/>
          <w:bCs w:val="0"/>
          <w:i w:val="0"/>
          <w:iCs w:val="0"/>
          <w:caps w:val="0"/>
          <w:color w:val="auto"/>
          <w:spacing w:val="0"/>
          <w:sz w:val="32"/>
          <w:szCs w:val="32"/>
        </w:rPr>
        <w:t>。</w:t>
      </w:r>
    </w:p>
    <w:p w14:paraId="5809BD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iCs w:val="0"/>
          <w:caps w:val="0"/>
          <w:color w:val="auto"/>
          <w:spacing w:val="0"/>
          <w:sz w:val="32"/>
          <w:szCs w:val="32"/>
        </w:rPr>
        <w:t>（三）将修改送审稿报县司法局进行合法性审核，根据提出的具体修改意见，进一步修改完善，形成修改草案。提交县政府常务会讨论通过后，印发实施。</w:t>
      </w:r>
    </w:p>
    <w:p w14:paraId="284310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i w:val="0"/>
          <w:iCs w:val="0"/>
          <w:caps w:val="0"/>
          <w:color w:val="auto"/>
          <w:spacing w:val="0"/>
          <w:sz w:val="32"/>
          <w:szCs w:val="32"/>
        </w:rPr>
        <w:t>四、主要内容</w:t>
      </w:r>
    </w:p>
    <w:p w14:paraId="0BFA61D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和田县农村土地承包经营权和地上附着物抵押登记管理办法》，共七章二十四条。第一章总则包含第一条至第四条，对发文依据、农村土地承包经营权和地上附着物抵押定义、原则、负责部门进行了明确；第二章抵押人和抵押权人包含第五条至第八条，对抵押人和抵押权人定义、条件、不得设定抵押情况进行了规定；第三章抵押合同的签订包含第九条至第十一条，对抵押合同的签订提出了具体要求；第四章抵押登记包含第十二条至第十八条，对抵押登记的主体、所需材料、受理办结期限、变更登记、抵押权转让、抵押权注销、材料管理等作了规定；第五章抵押物评估包含第十九条至第二十条，对抵押物价值评估、综合测评分析进行了说明；第六章债权实现包含第二十条至第二十二条，对债权实现作了具体说明；第七章附则包含第二十三条至第二十四条，对未尽事宜及施行时间进行了规定。</w:t>
      </w:r>
    </w:p>
    <w:p w14:paraId="26DC008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方正仿宋简体" w:hAnsi="方正仿宋简体" w:eastAsia="方正仿宋简体" w:cs="方正仿宋简体"/>
          <w:i w:val="0"/>
          <w:iCs w:val="0"/>
          <w:caps w:val="0"/>
          <w:color w:val="auto"/>
          <w:spacing w:val="0"/>
          <w:kern w:val="0"/>
          <w:sz w:val="32"/>
          <w:szCs w:val="32"/>
          <w:lang w:val="en-US" w:eastAsia="zh-CN" w:bidi="ar"/>
        </w:rPr>
      </w:pPr>
    </w:p>
    <w:p w14:paraId="7E9C6366">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auto"/>
          <w:spacing w:val="0"/>
          <w:kern w:val="0"/>
          <w:sz w:val="32"/>
          <w:szCs w:val="32"/>
          <w:lang w:val="en-US" w:eastAsia="zh-CN" w:bidi="ar"/>
        </w:rPr>
      </w:pPr>
    </w:p>
    <w:p w14:paraId="6C4294CC">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auto"/>
          <w:spacing w:val="0"/>
          <w:kern w:val="0"/>
          <w:sz w:val="32"/>
          <w:szCs w:val="32"/>
          <w:lang w:val="en-US" w:eastAsia="zh-CN" w:bidi="ar"/>
        </w:rPr>
      </w:pPr>
    </w:p>
    <w:p w14:paraId="5911A42E">
      <w:pPr>
        <w:pStyle w:val="10"/>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和田县农业农村局</w:t>
      </w:r>
    </w:p>
    <w:p w14:paraId="125BED7E">
      <w:pPr>
        <w:pStyle w:val="10"/>
        <w:keepNext w:val="0"/>
        <w:keepLines w:val="0"/>
        <w:pageBreakBefore w:val="0"/>
        <w:widowControl w:val="0"/>
        <w:kinsoku/>
        <w:wordWrap/>
        <w:overflowPunct/>
        <w:topLinePunct w:val="0"/>
        <w:autoSpaceDE/>
        <w:autoSpaceDN/>
        <w:bidi w:val="0"/>
        <w:adjustRightInd/>
        <w:snapToGrid/>
        <w:spacing w:line="520" w:lineRule="exact"/>
        <w:ind w:firstLine="4480" w:firstLineChars="1400"/>
        <w:textAlignment w:val="auto"/>
        <w:rPr>
          <w:rFonts w:hint="default"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2022年8月22日</w:t>
      </w:r>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E3881">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91837">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CA91837">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99F8C">
                          <w:pPr>
                            <w:pStyle w:val="4"/>
                            <w:rPr>
                              <w:rFonts w:hint="eastAsia" w:asciiTheme="minorEastAsia" w:hAnsiTheme="minorEastAsia" w:eastAsiaTheme="minorEastAsia" w:cstheme="minorEastAsia"/>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CF99F8C">
                    <w:pPr>
                      <w:pStyle w:val="4"/>
                      <w:rPr>
                        <w:rFonts w:hint="eastAsia" w:asciiTheme="minorEastAsia" w:hAnsiTheme="minorEastAsia" w:eastAsiaTheme="minorEastAsia" w:cstheme="minorEastAsia"/>
                        <w:sz w:val="28"/>
                        <w:szCs w:val="2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18860">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ABB3F">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8DABB3F">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NDkxNTJjZjBlNDllZTUzOTg0ZGU5YWUxNWRhY2QifQ=="/>
  </w:docVars>
  <w:rsids>
    <w:rsidRoot w:val="00000000"/>
    <w:rsid w:val="00CD2FDE"/>
    <w:rsid w:val="03195159"/>
    <w:rsid w:val="032B09E8"/>
    <w:rsid w:val="041341B1"/>
    <w:rsid w:val="05351E6A"/>
    <w:rsid w:val="08201173"/>
    <w:rsid w:val="09735715"/>
    <w:rsid w:val="0B3B3792"/>
    <w:rsid w:val="0C7E7F5C"/>
    <w:rsid w:val="0CF93AD9"/>
    <w:rsid w:val="0D556D8D"/>
    <w:rsid w:val="0D5FF2CD"/>
    <w:rsid w:val="0DEF52EA"/>
    <w:rsid w:val="110C0BBA"/>
    <w:rsid w:val="12D50DEA"/>
    <w:rsid w:val="15E72E94"/>
    <w:rsid w:val="18875233"/>
    <w:rsid w:val="193F0862"/>
    <w:rsid w:val="197F6228"/>
    <w:rsid w:val="1A0F0DB5"/>
    <w:rsid w:val="1AB85319"/>
    <w:rsid w:val="1BCB40AF"/>
    <w:rsid w:val="1C9B1C69"/>
    <w:rsid w:val="1EDFA6DE"/>
    <w:rsid w:val="1EEB0F4D"/>
    <w:rsid w:val="1FC102B2"/>
    <w:rsid w:val="1FDA1374"/>
    <w:rsid w:val="1FDE8AEA"/>
    <w:rsid w:val="217B0E7A"/>
    <w:rsid w:val="21B6105F"/>
    <w:rsid w:val="273A72C8"/>
    <w:rsid w:val="27787DF0"/>
    <w:rsid w:val="296C1098"/>
    <w:rsid w:val="29EF2E91"/>
    <w:rsid w:val="29F44D83"/>
    <w:rsid w:val="2A3D11F0"/>
    <w:rsid w:val="2A780DA7"/>
    <w:rsid w:val="2AB37E5A"/>
    <w:rsid w:val="2BF86C77"/>
    <w:rsid w:val="2CA5012C"/>
    <w:rsid w:val="2DDC3AED"/>
    <w:rsid w:val="2EDC5278"/>
    <w:rsid w:val="2EDF2A4E"/>
    <w:rsid w:val="2F195A15"/>
    <w:rsid w:val="2FFF2130"/>
    <w:rsid w:val="3182274E"/>
    <w:rsid w:val="3186310A"/>
    <w:rsid w:val="31F369F1"/>
    <w:rsid w:val="32244DFC"/>
    <w:rsid w:val="362CD587"/>
    <w:rsid w:val="369E4A52"/>
    <w:rsid w:val="377A66DC"/>
    <w:rsid w:val="393D31F5"/>
    <w:rsid w:val="39C61AB8"/>
    <w:rsid w:val="3B0423EC"/>
    <w:rsid w:val="3B7B8B82"/>
    <w:rsid w:val="3BCE4D4D"/>
    <w:rsid w:val="3DE47B36"/>
    <w:rsid w:val="3EB72328"/>
    <w:rsid w:val="3F175F9C"/>
    <w:rsid w:val="45D423AB"/>
    <w:rsid w:val="4764581D"/>
    <w:rsid w:val="477627B9"/>
    <w:rsid w:val="47BD0CC0"/>
    <w:rsid w:val="49AC5E55"/>
    <w:rsid w:val="4A811DA4"/>
    <w:rsid w:val="4DA35412"/>
    <w:rsid w:val="4F75D096"/>
    <w:rsid w:val="50B70C53"/>
    <w:rsid w:val="50D92763"/>
    <w:rsid w:val="51736CB8"/>
    <w:rsid w:val="51B278A4"/>
    <w:rsid w:val="51B3078D"/>
    <w:rsid w:val="520619D1"/>
    <w:rsid w:val="52EE5EF2"/>
    <w:rsid w:val="56586FB6"/>
    <w:rsid w:val="58057578"/>
    <w:rsid w:val="58BC7AA4"/>
    <w:rsid w:val="598E2878"/>
    <w:rsid w:val="59B36D38"/>
    <w:rsid w:val="5EB80CF4"/>
    <w:rsid w:val="5EF3A8AA"/>
    <w:rsid w:val="5FDD92EC"/>
    <w:rsid w:val="644F7208"/>
    <w:rsid w:val="653F572A"/>
    <w:rsid w:val="66AF4687"/>
    <w:rsid w:val="66FE4144"/>
    <w:rsid w:val="672524A2"/>
    <w:rsid w:val="673769B2"/>
    <w:rsid w:val="675039C2"/>
    <w:rsid w:val="67A80FC1"/>
    <w:rsid w:val="6BBFF4BF"/>
    <w:rsid w:val="6D140FEE"/>
    <w:rsid w:val="6FFCCA69"/>
    <w:rsid w:val="73FF6045"/>
    <w:rsid w:val="75BCE7D1"/>
    <w:rsid w:val="75BFE593"/>
    <w:rsid w:val="76DFBD66"/>
    <w:rsid w:val="77373422"/>
    <w:rsid w:val="78511348"/>
    <w:rsid w:val="795804B5"/>
    <w:rsid w:val="7B050F64"/>
    <w:rsid w:val="7BD40338"/>
    <w:rsid w:val="7BDE7E1D"/>
    <w:rsid w:val="7BEB34B6"/>
    <w:rsid w:val="7BF7F27D"/>
    <w:rsid w:val="7BFAC44B"/>
    <w:rsid w:val="7CDC7720"/>
    <w:rsid w:val="7CED2639"/>
    <w:rsid w:val="7CF42C35"/>
    <w:rsid w:val="7D4861C3"/>
    <w:rsid w:val="7DFAD03C"/>
    <w:rsid w:val="7EC39FAA"/>
    <w:rsid w:val="7F957A5E"/>
    <w:rsid w:val="7FEE50CF"/>
    <w:rsid w:val="7FFC7AEB"/>
    <w:rsid w:val="7FFE05DB"/>
    <w:rsid w:val="98E70D9D"/>
    <w:rsid w:val="9DCF756B"/>
    <w:rsid w:val="9DFCDB6E"/>
    <w:rsid w:val="9F7D4062"/>
    <w:rsid w:val="9F7FAE44"/>
    <w:rsid w:val="A3ED94D5"/>
    <w:rsid w:val="A67D27EE"/>
    <w:rsid w:val="A9BFBB11"/>
    <w:rsid w:val="B5B61165"/>
    <w:rsid w:val="BBFF1F96"/>
    <w:rsid w:val="C5DFE405"/>
    <w:rsid w:val="D7E71694"/>
    <w:rsid w:val="D9DBF2DF"/>
    <w:rsid w:val="DB9CC4B4"/>
    <w:rsid w:val="DF35347E"/>
    <w:rsid w:val="E57E5B2D"/>
    <w:rsid w:val="E6BE10C0"/>
    <w:rsid w:val="EA6E1B7A"/>
    <w:rsid w:val="EDBEF483"/>
    <w:rsid w:val="EF9F3997"/>
    <w:rsid w:val="F4FC7098"/>
    <w:rsid w:val="F5F4867B"/>
    <w:rsid w:val="F7CDA172"/>
    <w:rsid w:val="F7D69873"/>
    <w:rsid w:val="F7FF8766"/>
    <w:rsid w:val="F9ED3543"/>
    <w:rsid w:val="F9FFA833"/>
    <w:rsid w:val="FA66CBB2"/>
    <w:rsid w:val="FB77FAB2"/>
    <w:rsid w:val="FBFB9EB5"/>
    <w:rsid w:val="FBFEC730"/>
    <w:rsid w:val="FD2C7859"/>
    <w:rsid w:val="FE7F5422"/>
    <w:rsid w:val="FF6F5B32"/>
    <w:rsid w:val="FFDFA3F6"/>
    <w:rsid w:val="FFFB7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0"/>
    <w:pPr>
      <w:widowControl/>
      <w:ind w:left="1400" w:firstLine="1136"/>
      <w:outlineLvl w:val="2"/>
    </w:pPr>
    <w:rPr>
      <w:rFonts w:ascii="宋体" w:hAnsi="宋体" w:eastAsia="Times New Roman"/>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样式1"/>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1531</Words>
  <Characters>1565</Characters>
  <Lines>0</Lines>
  <Paragraphs>0</Paragraphs>
  <TotalTime>1</TotalTime>
  <ScaleCrop>false</ScaleCrop>
  <LinksUpToDate>false</LinksUpToDate>
  <CharactersWithSpaces>1568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2020-09-29T19:33:00Z</dcterms:created>
  <dc:creator>zhb01</dc:creator>
  <cp:lastModifiedBy>惠普</cp:lastModifiedBy>
  <cp:lastPrinted>2024-12-16T08:27:00Z</cp:lastPrinted>
  <dcterms:modified xsi:type="dcterms:W3CDTF">2024-12-16T10:58:59Z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DC5FC1D55E844FF69DBF05FE4C96AAAE</vt:lpwstr>
  </property>
</Properties>
</file>