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DAAC3">
      <w:pPr>
        <w:pStyle w:val="10"/>
        <w:rPr>
          <w:rFonts w:hint="eastAsia" w:ascii="仿宋_GB2312" w:hAnsi="仿宋_GB2312" w:eastAsia="仿宋_GB2312" w:cs="仿宋_GB2312"/>
          <w:color w:val="auto"/>
          <w:sz w:val="32"/>
          <w:szCs w:val="32"/>
        </w:rPr>
      </w:pPr>
      <w:r>
        <w:rPr>
          <w:rFonts w:ascii="方正小标宋简体" w:eastAsia="方正小标宋简体"/>
          <w:color w:val="auto"/>
          <w:spacing w:val="-22"/>
          <w:sz w:val="21"/>
          <w:szCs w:val="21"/>
        </w:rPr>
        <w:pict>
          <v:shape id="_x0000_i1025" o:spt="136" type="#_x0000_t136" style="height:33pt;width:418.55pt;" fillcolor="#FF0000" filled="t" stroked="f" coordsize="21600,21600" adj="10800">
            <v:path/>
            <v:fill on="t" color2="#FFFFFF" focussize="0,0"/>
            <v:stroke on="f"/>
            <v:imagedata o:title=""/>
            <o:lock v:ext="edit" aspectratio="f"/>
            <v:textpath on="t" fitshape="t" fitpath="t" trim="t" xscale="f" string="新疆维吾尔自治区和田县农业农村局" style="font-family:方正小标宋简体;font-size:28pt;font-weight:bold;v-same-letter-heights:t;v-text-align:stretch-justify;v-text-spacing:65536f;"/>
            <w10:wrap type="none"/>
            <w10:anchorlock/>
          </v:shape>
        </w:pict>
      </w:r>
    </w:p>
    <w:p w14:paraId="67618643">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color w:val="auto"/>
          <w:spacing w:val="-22"/>
          <w:sz w:val="52"/>
          <w:szCs w:val="52"/>
          <w:lang w:val="en-US" w:eastAsia="zh-CN"/>
        </w:rPr>
      </w:pPr>
      <w:r>
        <w:rPr>
          <w:rFonts w:hint="default" w:ascii="方正小标宋简体" w:eastAsia="方正小标宋简体"/>
          <w:color w:val="auto"/>
          <w:spacing w:val="-22"/>
          <w:sz w:val="52"/>
          <w:szCs w:val="52"/>
          <w:lang w:val="en-US" w:eastAsia="zh-CN"/>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56515</wp:posOffset>
                </wp:positionV>
                <wp:extent cx="5427980" cy="18415"/>
                <wp:effectExtent l="0" t="9525" r="7620" b="10160"/>
                <wp:wrapNone/>
                <wp:docPr id="7" name="直接连接符 7"/>
                <wp:cNvGraphicFramePr/>
                <a:graphic xmlns:a="http://schemas.openxmlformats.org/drawingml/2006/main">
                  <a:graphicData uri="http://schemas.microsoft.com/office/word/2010/wordprocessingShape">
                    <wps:wsp>
                      <wps:cNvCnPr/>
                      <wps:spPr>
                        <a:xfrm>
                          <a:off x="0" y="0"/>
                          <a:ext cx="5427980" cy="1841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0.05pt;margin-top:4.45pt;height:1.45pt;width:427.4pt;z-index:251661312;mso-width-relative:page;mso-height-relative:page;" filled="f" stroked="t" coordsize="21600,21600" o:gfxdata="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8hD8LVAAAACAEAAA8AAAAAAAAAAQAgAAAAIgAAAGRycy9kb3ducmV2LnhtbFBLAQIUABQAAAAI&#10;AIdO4kCAoOiD8AEAAMQDAAAOAAAAAAAAAAEAIAAAACQBAABkcnMvZTJvRG9jLnhtbFBLBQYAAAAA&#10;BgAGAFkBAACGBQAAAAA=&#10;">
                <v:fill on="f" focussize="0,0"/>
                <v:stroke weight="1.5pt" color="#FF0000" miterlimit="8" joinstyle="miter"/>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3175</wp:posOffset>
                </wp:positionV>
                <wp:extent cx="5436870" cy="8255"/>
                <wp:effectExtent l="0" t="25400" r="11430" b="29845"/>
                <wp:wrapNone/>
                <wp:docPr id="1" name="直接连接符 1"/>
                <wp:cNvGraphicFramePr/>
                <a:graphic xmlns:a="http://schemas.openxmlformats.org/drawingml/2006/main">
                  <a:graphicData uri="http://schemas.microsoft.com/office/word/2010/wordprocessingShape">
                    <wps:wsp>
                      <wps:cNvCnPr/>
                      <wps:spPr>
                        <a:xfrm>
                          <a:off x="0" y="0"/>
                          <a:ext cx="5436870" cy="8255"/>
                        </a:xfrm>
                        <a:prstGeom prst="line">
                          <a:avLst/>
                        </a:prstGeom>
                        <a:noFill/>
                        <a:ln w="508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0.15pt;margin-top:0.25pt;height:0.65pt;width:428.1pt;z-index:251660288;mso-width-relative:page;mso-height-relative:page;" filled="f" stroked="t" coordsize="21600,21600" o:gfxdata="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pt&#10;chHVAAAABgEAAA8AAAAAAAAAAQAgAAAAIgAAAGRycy9kb3ducmV2LnhtbFBLAQIUABQAAAAIAIdO&#10;4kC9klRD7QEAAMMDAAAOAAAAAAAAAAEAIAAAACQBAABkcnMvZTJvRG9jLnhtbFBLBQYAAAAABgAG&#10;AFkBAACDBQAAAAA=&#10;">
                <v:fill on="f" focussize="0,0"/>
                <v:stroke weight="4pt" color="#FF0000" miterlimit="8" joinstyle="miter"/>
                <v:imagedata o:title=""/>
                <o:lock v:ext="edit" aspectratio="f"/>
              </v:line>
            </w:pict>
          </mc:Fallback>
        </mc:AlternateContent>
      </w:r>
    </w:p>
    <w:p w14:paraId="49010A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和田县农村土地流转经营权登记颁证</w:t>
      </w:r>
    </w:p>
    <w:p w14:paraId="52FAB7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b w:val="0"/>
          <w:bCs w:val="0"/>
          <w:color w:val="auto"/>
          <w:sz w:val="44"/>
          <w:szCs w:val="44"/>
          <w:lang w:val="en-US" w:eastAsia="zh-CN"/>
        </w:rPr>
        <w:t>管理办法</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i w:val="0"/>
          <w:iCs w:val="0"/>
          <w:caps w:val="0"/>
          <w:color w:val="auto"/>
          <w:spacing w:val="0"/>
          <w:sz w:val="44"/>
          <w:szCs w:val="44"/>
        </w:rPr>
        <w:t>政策解读</w:t>
      </w:r>
    </w:p>
    <w:p w14:paraId="0D1A9C0A">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i w:val="0"/>
          <w:iCs w:val="0"/>
          <w:caps w:val="0"/>
          <w:color w:val="auto"/>
          <w:spacing w:val="0"/>
          <w:sz w:val="44"/>
          <w:szCs w:val="44"/>
        </w:rPr>
      </w:pPr>
    </w:p>
    <w:p w14:paraId="63ACC2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i w:val="0"/>
          <w:iCs w:val="0"/>
          <w:caps w:val="0"/>
          <w:color w:val="auto"/>
          <w:spacing w:val="0"/>
          <w:sz w:val="32"/>
          <w:szCs w:val="32"/>
        </w:rPr>
        <w:t>一、办法制定的必要性</w:t>
      </w:r>
    </w:p>
    <w:p w14:paraId="11CCA7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为维护农村土地承包经营权流转双方的合法权益，支持农村土地集约化、规模化经营，</w:t>
      </w:r>
      <w:r>
        <w:rPr>
          <w:rFonts w:hint="eastAsia" w:ascii="方正仿宋简体" w:hAnsi="方正仿宋简体" w:eastAsia="方正仿宋简体" w:cs="方正仿宋简体"/>
          <w:b w:val="0"/>
          <w:bCs w:val="0"/>
          <w:color w:val="auto"/>
          <w:sz w:val="32"/>
          <w:szCs w:val="32"/>
          <w:lang w:eastAsia="zh-CN"/>
        </w:rPr>
        <w:t>提升农村农业资本投入水平，解决</w:t>
      </w:r>
      <w:r>
        <w:rPr>
          <w:rFonts w:hint="eastAsia" w:ascii="方正仿宋简体" w:hAnsi="方正仿宋简体" w:eastAsia="方正仿宋简体" w:cs="方正仿宋简体"/>
          <w:b w:val="0"/>
          <w:bCs w:val="0"/>
          <w:color w:val="auto"/>
          <w:sz w:val="32"/>
          <w:szCs w:val="32"/>
          <w:lang w:val="en-US" w:eastAsia="zh-CN"/>
        </w:rPr>
        <w:t>好</w:t>
      </w:r>
      <w:r>
        <w:rPr>
          <w:rFonts w:hint="eastAsia" w:ascii="方正仿宋简体" w:hAnsi="方正仿宋简体" w:eastAsia="方正仿宋简体" w:cs="方正仿宋简体"/>
          <w:b w:val="0"/>
          <w:bCs w:val="0"/>
          <w:color w:val="auto"/>
          <w:sz w:val="32"/>
          <w:szCs w:val="32"/>
          <w:lang w:eastAsia="zh-CN"/>
        </w:rPr>
        <w:t>农业设施产权合法交易的问题，防止和减少权属纠纷，</w:t>
      </w:r>
      <w:r>
        <w:rPr>
          <w:rFonts w:hint="eastAsia" w:ascii="方正仿宋简体" w:hAnsi="方正仿宋简体" w:eastAsia="方正仿宋简体" w:cs="方正仿宋简体"/>
          <w:b w:val="0"/>
          <w:bCs w:val="0"/>
          <w:color w:val="auto"/>
          <w:sz w:val="32"/>
          <w:szCs w:val="32"/>
          <w:lang w:val="en-US" w:eastAsia="zh-CN"/>
        </w:rPr>
        <w:t>有效激活农村生产要素。</w:t>
      </w:r>
    </w:p>
    <w:p w14:paraId="25F82D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rPr>
        <w:t>二、办法制定依据</w:t>
      </w:r>
    </w:p>
    <w:p w14:paraId="210C98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1.《中华人民共和国农村土地承包法》；</w:t>
      </w:r>
    </w:p>
    <w:p w14:paraId="73F1E7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2.《中华人民共和国农村土地承包经营权证管理办法》；</w:t>
      </w:r>
    </w:p>
    <w:p w14:paraId="140833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3.《不动产登记暂行条例》；</w:t>
      </w:r>
    </w:p>
    <w:p w14:paraId="04AD07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4.《不动产登记暂行条例实施细则》；</w:t>
      </w:r>
    </w:p>
    <w:p w14:paraId="7D2DFE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5.《新疆维吾尔自治区人民政府办公厅关于印 发2015年自治区农村土地承包经营权确权登记颁证整县推进试点工作实施方案的通知》 新政办发</w:t>
      </w:r>
      <w:r>
        <w:rPr>
          <w:rStyle w:val="9"/>
          <w:rFonts w:hint="eastAsia" w:ascii="方正仿宋简体" w:hAnsi="方正仿宋简体" w:eastAsia="方正仿宋简体" w:cs="方正仿宋简体"/>
          <w:b w:val="0"/>
          <w:bCs w:val="0"/>
          <w:i w:val="0"/>
          <w:iCs w:val="0"/>
          <w:caps w:val="0"/>
          <w:color w:val="auto"/>
          <w:spacing w:val="0"/>
          <w:sz w:val="32"/>
          <w:szCs w:val="32"/>
        </w:rPr>
        <w:t>〔201</w:t>
      </w:r>
      <w:r>
        <w:rPr>
          <w:rStyle w:val="9"/>
          <w:rFonts w:hint="eastAsia" w:ascii="方正仿宋简体" w:hAnsi="方正仿宋简体" w:eastAsia="方正仿宋简体" w:cs="方正仿宋简体"/>
          <w:b w:val="0"/>
          <w:bCs w:val="0"/>
          <w:i w:val="0"/>
          <w:iCs w:val="0"/>
          <w:caps w:val="0"/>
          <w:color w:val="auto"/>
          <w:spacing w:val="0"/>
          <w:sz w:val="32"/>
          <w:szCs w:val="32"/>
          <w:lang w:val="en-US" w:eastAsia="zh-CN"/>
        </w:rPr>
        <w:t>5</w:t>
      </w:r>
      <w:r>
        <w:rPr>
          <w:rStyle w:val="9"/>
          <w:rFonts w:hint="eastAsia" w:ascii="方正仿宋简体" w:hAnsi="方正仿宋简体" w:eastAsia="方正仿宋简体" w:cs="方正仿宋简体"/>
          <w:b w:val="0"/>
          <w:bCs w:val="0"/>
          <w:i w:val="0"/>
          <w:iCs w:val="0"/>
          <w:caps w:val="0"/>
          <w:color w:val="auto"/>
          <w:spacing w:val="0"/>
          <w:sz w:val="32"/>
          <w:szCs w:val="32"/>
        </w:rPr>
        <w:t>〕</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35号；</w:t>
      </w:r>
    </w:p>
    <w:p w14:paraId="0B910D58">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6.《关于印发2016年和田地区</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begin"/>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instrText xml:space="preserve"> HYPERLINK "https://m.tuliu.com/tags/37.html" </w:instrTex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separate"/>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农村土地</w:t>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fldChar w:fldCharType="end"/>
      </w: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承包经营权确权登记颁证整县推进试点工作实施方案的通知》和行办发〔2016〕53号。</w:t>
      </w:r>
    </w:p>
    <w:p w14:paraId="0EDAD1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i w:val="0"/>
          <w:iCs w:val="0"/>
          <w:caps w:val="0"/>
          <w:color w:val="auto"/>
          <w:spacing w:val="0"/>
          <w:sz w:val="32"/>
          <w:szCs w:val="32"/>
          <w:lang w:val="en-US" w:eastAsia="zh-CN"/>
        </w:rPr>
        <w:t>三</w:t>
      </w:r>
      <w:r>
        <w:rPr>
          <w:rFonts w:hint="eastAsia" w:ascii="方正黑体简体" w:hAnsi="方正黑体简体" w:eastAsia="方正黑体简体" w:cs="方正黑体简体"/>
          <w:i w:val="0"/>
          <w:iCs w:val="0"/>
          <w:caps w:val="0"/>
          <w:color w:val="auto"/>
          <w:spacing w:val="0"/>
          <w:sz w:val="32"/>
          <w:szCs w:val="32"/>
        </w:rPr>
        <w:t>、</w:t>
      </w:r>
      <w:r>
        <w:rPr>
          <w:rFonts w:hint="eastAsia" w:ascii="方正黑体简体" w:hAnsi="方正黑体简体" w:eastAsia="方正黑体简体" w:cs="方正黑体简体"/>
          <w:i w:val="0"/>
          <w:iCs w:val="0"/>
          <w:caps w:val="0"/>
          <w:color w:val="auto"/>
          <w:spacing w:val="0"/>
          <w:sz w:val="32"/>
          <w:szCs w:val="32"/>
          <w:lang w:val="en-US" w:eastAsia="zh-CN"/>
        </w:rPr>
        <w:t>制定</w:t>
      </w:r>
      <w:r>
        <w:rPr>
          <w:rFonts w:hint="eastAsia" w:ascii="方正黑体简体" w:hAnsi="方正黑体简体" w:eastAsia="方正黑体简体" w:cs="方正黑体简体"/>
          <w:i w:val="0"/>
          <w:iCs w:val="0"/>
          <w:caps w:val="0"/>
          <w:color w:val="auto"/>
          <w:spacing w:val="0"/>
          <w:sz w:val="32"/>
          <w:szCs w:val="32"/>
        </w:rPr>
        <w:t>经过</w:t>
      </w:r>
    </w:p>
    <w:p w14:paraId="3D803F3A">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（一）</w:t>
      </w:r>
      <w:r>
        <w:rPr>
          <w:rFonts w:hint="eastAsia" w:ascii="方正仿宋简体" w:hAnsi="方正仿宋简体" w:eastAsia="方正仿宋简体" w:cs="方正仿宋简体"/>
          <w:i w:val="0"/>
          <w:iCs w:val="0"/>
          <w:caps w:val="0"/>
          <w:color w:val="auto"/>
          <w:spacing w:val="0"/>
          <w:sz w:val="32"/>
          <w:szCs w:val="32"/>
          <w:lang w:val="en-US" w:eastAsia="zh-CN"/>
        </w:rPr>
        <w:t>为</w:t>
      </w:r>
      <w:r>
        <w:rPr>
          <w:rFonts w:hint="eastAsia" w:ascii="方正仿宋简体" w:hAnsi="方正仿宋简体" w:eastAsia="方正仿宋简体" w:cs="方正仿宋简体"/>
          <w:sz w:val="32"/>
          <w:szCs w:val="32"/>
        </w:rPr>
        <w:t>防止和减少权属纠纷，有效激活农村生产要素，</w:t>
      </w:r>
      <w:r>
        <w:rPr>
          <w:rFonts w:hint="eastAsia" w:ascii="方正仿宋简体" w:hAnsi="方正仿宋简体" w:eastAsia="方正仿宋简体" w:cs="方正仿宋简体"/>
          <w:sz w:val="32"/>
          <w:szCs w:val="32"/>
          <w:lang w:val="en-US" w:eastAsia="zh-CN"/>
        </w:rPr>
        <w:t>全面</w:t>
      </w:r>
      <w:r>
        <w:rPr>
          <w:rFonts w:hint="eastAsia" w:ascii="方正仿宋简体" w:hAnsi="方正仿宋简体" w:eastAsia="方正仿宋简体" w:cs="方正仿宋简体"/>
          <w:sz w:val="32"/>
          <w:szCs w:val="32"/>
        </w:rPr>
        <w:t>提升农村农业资本投入水平，深化产权制度改革成效，加快推进现代农业发展</w:t>
      </w:r>
      <w:r>
        <w:rPr>
          <w:rFonts w:hint="eastAsia" w:ascii="方正仿宋简体" w:hAnsi="方正仿宋简体" w:eastAsia="方正仿宋简体" w:cs="方正仿宋简体"/>
          <w:b w:val="0"/>
          <w:bCs w:val="0"/>
          <w:color w:val="auto"/>
          <w:spacing w:val="0"/>
          <w:kern w:val="2"/>
          <w:sz w:val="32"/>
          <w:szCs w:val="32"/>
          <w:lang w:val="en-US" w:eastAsia="zh-CN" w:bidi="ar-SA"/>
        </w:rPr>
        <w:t>，由农业农村局牵头，于2022年8月5日组织县直财政、自然资源、供销、林草等行业部门负责同志以及农业产业化龙头企业、金融机构负责同志，并邀请律师</w:t>
      </w:r>
      <w:bookmarkStart w:id="0" w:name="_GoBack"/>
      <w:bookmarkEnd w:id="0"/>
      <w:r>
        <w:rPr>
          <w:rFonts w:hint="eastAsia" w:ascii="方正仿宋简体" w:hAnsi="方正仿宋简体" w:eastAsia="方正仿宋简体" w:cs="方正仿宋简体"/>
          <w:b w:val="0"/>
          <w:bCs w:val="0"/>
          <w:color w:val="auto"/>
          <w:spacing w:val="0"/>
          <w:kern w:val="2"/>
          <w:sz w:val="32"/>
          <w:szCs w:val="32"/>
          <w:lang w:val="en-US" w:eastAsia="zh-CN" w:bidi="ar-SA"/>
        </w:rPr>
        <w:t>和地区自然资源局、农业农村局业务科长就农村土地流转经营权登记颁证相关工作进行座谈论证，并达成一致拟定了《和田县农村土地流转经营权登记颁证管理办法》的</w:t>
      </w:r>
      <w:r>
        <w:rPr>
          <w:rFonts w:hint="eastAsia" w:ascii="方正仿宋简体" w:hAnsi="方正仿宋简体" w:eastAsia="方正仿宋简体" w:cs="方正仿宋简体"/>
          <w:i w:val="0"/>
          <w:iCs w:val="0"/>
          <w:caps w:val="0"/>
          <w:color w:val="auto"/>
          <w:spacing w:val="0"/>
          <w:sz w:val="32"/>
          <w:szCs w:val="32"/>
        </w:rPr>
        <w:t>修改初稿，呈分管领导审核，提出修改意见，根据意见作了修改，形成征求意见稿。</w:t>
      </w:r>
    </w:p>
    <w:p w14:paraId="1CF3E4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i w:val="0"/>
          <w:iCs w:val="0"/>
          <w:caps w:val="0"/>
          <w:color w:val="auto"/>
          <w:spacing w:val="0"/>
          <w:sz w:val="32"/>
          <w:szCs w:val="32"/>
        </w:rPr>
        <w:t>（二）将征求意见稿书面向各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镇人民政府、相关部门征求意见建议，根据各</w:t>
      </w:r>
      <w:r>
        <w:rPr>
          <w:rFonts w:hint="eastAsia" w:ascii="方正仿宋简体" w:hAnsi="方正仿宋简体" w:eastAsia="方正仿宋简体" w:cs="方正仿宋简体"/>
          <w:b w:val="0"/>
          <w:bCs w:val="0"/>
          <w:i w:val="0"/>
          <w:iCs w:val="0"/>
          <w:caps w:val="0"/>
          <w:color w:val="auto"/>
          <w:spacing w:val="0"/>
          <w:sz w:val="32"/>
          <w:szCs w:val="32"/>
          <w:lang w:val="en-US" w:eastAsia="zh-CN"/>
        </w:rPr>
        <w:t>乡</w:t>
      </w:r>
      <w:r>
        <w:rPr>
          <w:rFonts w:hint="eastAsia" w:ascii="方正仿宋简体" w:hAnsi="方正仿宋简体" w:eastAsia="方正仿宋简体" w:cs="方正仿宋简体"/>
          <w:b w:val="0"/>
          <w:bCs w:val="0"/>
          <w:i w:val="0"/>
          <w:iCs w:val="0"/>
          <w:caps w:val="0"/>
          <w:color w:val="auto"/>
          <w:spacing w:val="0"/>
          <w:sz w:val="32"/>
          <w:szCs w:val="32"/>
        </w:rPr>
        <w:t>镇、</w:t>
      </w:r>
      <w:r>
        <w:rPr>
          <w:rFonts w:hint="eastAsia" w:ascii="方正仿宋简体" w:hAnsi="方正仿宋简体" w:eastAsia="方正仿宋简体" w:cs="方正仿宋简体"/>
          <w:b w:val="0"/>
          <w:bCs w:val="0"/>
          <w:i w:val="0"/>
          <w:iCs w:val="0"/>
          <w:caps w:val="0"/>
          <w:color w:val="auto"/>
          <w:spacing w:val="0"/>
          <w:sz w:val="32"/>
          <w:szCs w:val="32"/>
          <w:lang w:val="en-US" w:eastAsia="zh-CN"/>
        </w:rPr>
        <w:t>相关</w:t>
      </w:r>
      <w:r>
        <w:rPr>
          <w:rFonts w:hint="eastAsia" w:ascii="方正仿宋简体" w:hAnsi="方正仿宋简体" w:eastAsia="方正仿宋简体" w:cs="方正仿宋简体"/>
          <w:b w:val="0"/>
          <w:bCs w:val="0"/>
          <w:i w:val="0"/>
          <w:iCs w:val="0"/>
          <w:caps w:val="0"/>
          <w:color w:val="auto"/>
          <w:spacing w:val="0"/>
          <w:sz w:val="32"/>
          <w:szCs w:val="32"/>
        </w:rPr>
        <w:t>单位反馈的情况，对</w:t>
      </w:r>
      <w:r>
        <w:rPr>
          <w:rFonts w:hint="eastAsia" w:ascii="方正仿宋简体" w:hAnsi="方正仿宋简体" w:eastAsia="方正仿宋简体" w:cs="方正仿宋简体"/>
          <w:b w:val="0"/>
          <w:bCs w:val="0"/>
          <w:i w:val="0"/>
          <w:iCs w:val="0"/>
          <w:caps w:val="0"/>
          <w:color w:val="auto"/>
          <w:spacing w:val="0"/>
          <w:sz w:val="32"/>
          <w:szCs w:val="32"/>
          <w:lang w:val="en-US" w:eastAsia="zh-CN"/>
        </w:rPr>
        <w:t>四</w:t>
      </w:r>
      <w:r>
        <w:rPr>
          <w:rFonts w:hint="eastAsia" w:ascii="方正仿宋简体" w:hAnsi="方正仿宋简体" w:eastAsia="方正仿宋简体" w:cs="方正仿宋简体"/>
          <w:b w:val="0"/>
          <w:bCs w:val="0"/>
          <w:i w:val="0"/>
          <w:iCs w:val="0"/>
          <w:caps w:val="0"/>
          <w:color w:val="auto"/>
          <w:spacing w:val="0"/>
          <w:sz w:val="32"/>
          <w:szCs w:val="32"/>
        </w:rPr>
        <w:t>个办法相关内容条款进行了修改，形成修改送审稿。</w:t>
      </w:r>
    </w:p>
    <w:p w14:paraId="094CF3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iCs w:val="0"/>
          <w:caps w:val="0"/>
          <w:color w:val="auto"/>
          <w:spacing w:val="0"/>
          <w:sz w:val="32"/>
          <w:szCs w:val="32"/>
        </w:rPr>
        <w:t>（三）将修改送审稿报县司法局进行合法性审核，根据提出的具体修改意见，进一步修改完善，形成修改草案。提交县政府常务会</w:t>
      </w:r>
      <w:r>
        <w:rPr>
          <w:rFonts w:hint="eastAsia" w:ascii="方正仿宋简体" w:hAnsi="方正仿宋简体" w:eastAsia="方正仿宋简体" w:cs="方正仿宋简体"/>
          <w:b w:val="0"/>
          <w:bCs w:val="0"/>
          <w:color w:val="auto"/>
          <w:spacing w:val="0"/>
          <w:kern w:val="2"/>
          <w:sz w:val="32"/>
          <w:szCs w:val="32"/>
          <w:lang w:val="en-US" w:eastAsia="zh-CN" w:bidi="ar-SA"/>
        </w:rPr>
        <w:t>讨论</w:t>
      </w:r>
      <w:r>
        <w:rPr>
          <w:rFonts w:hint="eastAsia" w:ascii="方正仿宋简体" w:hAnsi="方正仿宋简体" w:eastAsia="方正仿宋简体" w:cs="方正仿宋简体"/>
          <w:i w:val="0"/>
          <w:iCs w:val="0"/>
          <w:caps w:val="0"/>
          <w:color w:val="auto"/>
          <w:spacing w:val="0"/>
          <w:sz w:val="32"/>
          <w:szCs w:val="32"/>
        </w:rPr>
        <w:t>通过后，印发实施。</w:t>
      </w:r>
    </w:p>
    <w:p w14:paraId="0A313E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方正黑体简体" w:hAnsi="方正黑体简体" w:eastAsia="方正黑体简体" w:cs="方正黑体简体"/>
          <w:i w:val="0"/>
          <w:iCs w:val="0"/>
          <w:caps w:val="0"/>
          <w:color w:val="auto"/>
          <w:spacing w:val="0"/>
          <w:sz w:val="32"/>
          <w:szCs w:val="32"/>
        </w:rPr>
      </w:pPr>
      <w:r>
        <w:rPr>
          <w:rFonts w:hint="eastAsia" w:ascii="方正黑体简体" w:hAnsi="方正黑体简体" w:eastAsia="方正黑体简体" w:cs="方正黑体简体"/>
          <w:i w:val="0"/>
          <w:iCs w:val="0"/>
          <w:caps w:val="0"/>
          <w:color w:val="auto"/>
          <w:spacing w:val="0"/>
          <w:sz w:val="32"/>
          <w:szCs w:val="32"/>
        </w:rPr>
        <w:t>四、主要内容</w:t>
      </w:r>
    </w:p>
    <w:p w14:paraId="7A8F9638">
      <w:pPr>
        <w:keepNext w:val="0"/>
        <w:keepLines w:val="0"/>
        <w:pageBreakBefore w:val="0"/>
        <w:widowControl/>
        <w:shd w:val="clear" w:color="auto" w:fill="FFFFFF"/>
        <w:kinsoku/>
        <w:overflowPunct/>
        <w:topLinePunct w:val="0"/>
        <w:autoSpaceDE/>
        <w:autoSpaceDN/>
        <w:bidi w:val="0"/>
        <w:adjustRightInd/>
        <w:spacing w:line="520" w:lineRule="exact"/>
        <w:ind w:firstLine="640" w:firstLineChars="200"/>
        <w:jc w:val="left"/>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和田县农村土地流转经营权登记颁证管理办法》，共二十五条。第一条至第六条对适用区域范围、责任单位、流转各项要求作了明确规定；第七条至第十二条对所需材料、不予登记情形、受理期限、证书内容、颁证条件、登记材料管理等提出了要求；第十三条至二十二条对申请更正条件、申请经营权变更登记所需材料，申请补发、换发、收回、注销等情况进行了明确；第二十三条至第二十四条对收费及未尽事项进行了说明；第二十五条明确本办法施行的日期。</w:t>
      </w:r>
    </w:p>
    <w:p w14:paraId="4A5E8E42">
      <w:pPr>
        <w:pStyle w:val="1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color w:val="auto"/>
          <w:kern w:val="2"/>
          <w:sz w:val="32"/>
          <w:szCs w:val="32"/>
          <w:lang w:val="en-US" w:eastAsia="zh-CN" w:bidi="ar-SA"/>
        </w:rPr>
      </w:pPr>
    </w:p>
    <w:p w14:paraId="5911A42E">
      <w:pPr>
        <w:keepNext w:val="0"/>
        <w:keepLines w:val="0"/>
        <w:pageBreakBefore w:val="0"/>
        <w:widowControl/>
        <w:shd w:val="clear" w:color="auto" w:fill="FFFFFF"/>
        <w:kinsoku/>
        <w:overflowPunct/>
        <w:topLinePunct w:val="0"/>
        <w:autoSpaceDE/>
        <w:autoSpaceDN/>
        <w:bidi w:val="0"/>
        <w:adjustRightInd/>
        <w:spacing w:line="520" w:lineRule="exact"/>
        <w:ind w:firstLine="640" w:firstLineChars="200"/>
        <w:jc w:val="center"/>
        <w:textAlignment w:val="auto"/>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 xml:space="preserve"> 和田县农业农村局</w:t>
      </w:r>
    </w:p>
    <w:p w14:paraId="125BED7E">
      <w:pPr>
        <w:keepNext w:val="0"/>
        <w:keepLines w:val="0"/>
        <w:pageBreakBefore w:val="0"/>
        <w:widowControl/>
        <w:shd w:val="clear" w:color="auto" w:fill="FFFFFF"/>
        <w:kinsoku/>
        <w:overflowPunct/>
        <w:topLinePunct w:val="0"/>
        <w:autoSpaceDE/>
        <w:autoSpaceDN/>
        <w:bidi w:val="0"/>
        <w:adjustRightInd/>
        <w:spacing w:line="520" w:lineRule="exact"/>
        <w:ind w:firstLine="640" w:firstLineChars="200"/>
        <w:jc w:val="center"/>
        <w:textAlignment w:val="auto"/>
        <w:rPr>
          <w:rFonts w:hint="default" w:ascii="方正仿宋简体" w:hAnsi="方正仿宋简体" w:eastAsia="方正仿宋简体" w:cs="方正仿宋简体"/>
          <w:b w:val="0"/>
          <w:bCs w:val="0"/>
          <w:i w:val="0"/>
          <w:iCs w:val="0"/>
          <w:caps w:val="0"/>
          <w:color w:val="auto"/>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lang w:val="en-US" w:eastAsia="zh-CN" w:bidi="ar"/>
        </w:rPr>
        <w:t xml:space="preserve">  2022年8月22日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8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E2552">
                          <w:pPr>
                            <w:pStyle w:val="4"/>
                            <w:rPr>
                              <w:sz w:val="24"/>
                              <w:szCs w:val="24"/>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2E2552">
                    <w:pPr>
                      <w:pStyle w:val="4"/>
                      <w:rPr>
                        <w:sz w:val="24"/>
                        <w:szCs w:val="24"/>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NDkxNTJjZjBlNDllZTUzOTg0ZGU5YWUxNWRhY2QifQ=="/>
  </w:docVars>
  <w:rsids>
    <w:rsidRoot w:val="00000000"/>
    <w:rsid w:val="00DD593F"/>
    <w:rsid w:val="018F529B"/>
    <w:rsid w:val="05351E6A"/>
    <w:rsid w:val="063E0A32"/>
    <w:rsid w:val="0645488A"/>
    <w:rsid w:val="08201173"/>
    <w:rsid w:val="09735715"/>
    <w:rsid w:val="0A481E7F"/>
    <w:rsid w:val="0A7148B1"/>
    <w:rsid w:val="0B805C4F"/>
    <w:rsid w:val="0C7E7F5C"/>
    <w:rsid w:val="0D5FF2CD"/>
    <w:rsid w:val="110C0BBA"/>
    <w:rsid w:val="12D50DEA"/>
    <w:rsid w:val="13E620B2"/>
    <w:rsid w:val="17FD286A"/>
    <w:rsid w:val="197B045A"/>
    <w:rsid w:val="19C309AE"/>
    <w:rsid w:val="1A0F0DB5"/>
    <w:rsid w:val="1A491DAC"/>
    <w:rsid w:val="1C4850F5"/>
    <w:rsid w:val="1C8E7BC6"/>
    <w:rsid w:val="1EDFA6DE"/>
    <w:rsid w:val="1EEB0F4D"/>
    <w:rsid w:val="1FDE8AEA"/>
    <w:rsid w:val="2110504E"/>
    <w:rsid w:val="21434918"/>
    <w:rsid w:val="27B70919"/>
    <w:rsid w:val="296C1098"/>
    <w:rsid w:val="29F44D83"/>
    <w:rsid w:val="2A780DA7"/>
    <w:rsid w:val="2BF86C77"/>
    <w:rsid w:val="2DDC3AED"/>
    <w:rsid w:val="2EDF2A4E"/>
    <w:rsid w:val="2F477B81"/>
    <w:rsid w:val="2FFF2130"/>
    <w:rsid w:val="31204454"/>
    <w:rsid w:val="3182274E"/>
    <w:rsid w:val="34BD1C07"/>
    <w:rsid w:val="36091134"/>
    <w:rsid w:val="362CD587"/>
    <w:rsid w:val="377A66DC"/>
    <w:rsid w:val="39C61AB8"/>
    <w:rsid w:val="3B7B8B82"/>
    <w:rsid w:val="3BCE4D4D"/>
    <w:rsid w:val="41F1637D"/>
    <w:rsid w:val="42294B17"/>
    <w:rsid w:val="42C615B8"/>
    <w:rsid w:val="469B623A"/>
    <w:rsid w:val="4ADF1221"/>
    <w:rsid w:val="4B63653E"/>
    <w:rsid w:val="4DBA3214"/>
    <w:rsid w:val="4F75D096"/>
    <w:rsid w:val="50B70C53"/>
    <w:rsid w:val="51B3078D"/>
    <w:rsid w:val="52EE5EF2"/>
    <w:rsid w:val="53252976"/>
    <w:rsid w:val="57A85B51"/>
    <w:rsid w:val="5868001A"/>
    <w:rsid w:val="5DA64068"/>
    <w:rsid w:val="5ECA2293"/>
    <w:rsid w:val="5EF3A8AA"/>
    <w:rsid w:val="5FDD92EC"/>
    <w:rsid w:val="66FE4144"/>
    <w:rsid w:val="673769B2"/>
    <w:rsid w:val="67A80FC1"/>
    <w:rsid w:val="6BBFF4BF"/>
    <w:rsid w:val="6FFCCA69"/>
    <w:rsid w:val="73FF6045"/>
    <w:rsid w:val="740D49E9"/>
    <w:rsid w:val="74CD20AE"/>
    <w:rsid w:val="75BCE7D1"/>
    <w:rsid w:val="75BFE593"/>
    <w:rsid w:val="76525745"/>
    <w:rsid w:val="76DFBD66"/>
    <w:rsid w:val="7907369D"/>
    <w:rsid w:val="7BDE7E1D"/>
    <w:rsid w:val="7BEB34B6"/>
    <w:rsid w:val="7BF7F27D"/>
    <w:rsid w:val="7BFAC44B"/>
    <w:rsid w:val="7C4674E4"/>
    <w:rsid w:val="7CB31F25"/>
    <w:rsid w:val="7CED2639"/>
    <w:rsid w:val="7CF42C35"/>
    <w:rsid w:val="7D472513"/>
    <w:rsid w:val="7DA20CFE"/>
    <w:rsid w:val="7DFAD03C"/>
    <w:rsid w:val="7EC39FAA"/>
    <w:rsid w:val="7FEE50CF"/>
    <w:rsid w:val="7FFC7AEB"/>
    <w:rsid w:val="7FFE05DB"/>
    <w:rsid w:val="98E70D9D"/>
    <w:rsid w:val="9DCF756B"/>
    <w:rsid w:val="9DFCDB6E"/>
    <w:rsid w:val="9F7D4062"/>
    <w:rsid w:val="9F7FAE44"/>
    <w:rsid w:val="A3ED94D5"/>
    <w:rsid w:val="A67D27EE"/>
    <w:rsid w:val="A9BFBB11"/>
    <w:rsid w:val="B5B61165"/>
    <w:rsid w:val="BBFF1F96"/>
    <w:rsid w:val="C5DFE405"/>
    <w:rsid w:val="D7E71694"/>
    <w:rsid w:val="D9DBF2DF"/>
    <w:rsid w:val="DB9CC4B4"/>
    <w:rsid w:val="DF35347E"/>
    <w:rsid w:val="E57E5B2D"/>
    <w:rsid w:val="E6BE10C0"/>
    <w:rsid w:val="EA6E1B7A"/>
    <w:rsid w:val="EDBEF483"/>
    <w:rsid w:val="EF9F3997"/>
    <w:rsid w:val="F4FC7098"/>
    <w:rsid w:val="F5F4867B"/>
    <w:rsid w:val="F7CDA172"/>
    <w:rsid w:val="F7D69873"/>
    <w:rsid w:val="F7FF8766"/>
    <w:rsid w:val="F9ED3543"/>
    <w:rsid w:val="F9FFA833"/>
    <w:rsid w:val="FA66CBB2"/>
    <w:rsid w:val="FB77FAB2"/>
    <w:rsid w:val="FBFB9EB5"/>
    <w:rsid w:val="FBFEC730"/>
    <w:rsid w:val="FD2C7859"/>
    <w:rsid w:val="FE7F5422"/>
    <w:rsid w:val="FF6F5B32"/>
    <w:rsid w:val="FFDFA3F6"/>
    <w:rsid w:val="FFFB7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widowControl/>
      <w:ind w:left="1400" w:firstLine="1136"/>
      <w:outlineLvl w:val="2"/>
    </w:pPr>
    <w:rPr>
      <w:rFonts w:ascii="宋体" w:hAnsi="宋体" w:eastAsia="Times New Roman"/>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1197</Words>
  <Characters>1226</Characters>
  <Lines>0</Lines>
  <Paragraphs>0</Paragraphs>
  <TotalTime>1</TotalTime>
  <ScaleCrop>false</ScaleCrop>
  <LinksUpToDate>false</LinksUpToDate>
  <CharactersWithSpaces>1228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2020-09-29T19:33:00Z</dcterms:created>
  <dc:creator>zhb01</dc:creator>
  <cp:lastModifiedBy>惠普</cp:lastModifiedBy>
  <cp:lastPrinted>2024-12-16T08:07:00Z</cp:lastPrinted>
  <dcterms:modified xsi:type="dcterms:W3CDTF">2024-12-16T10:53:30Z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DC5FC1D55E844FF69DBF05FE4C96AAAE</vt:lpwstr>
  </property>
</Properties>
</file>