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N w:val="0"/>
        <w:bidi w:val="0"/>
        <w:adjustRightIn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和田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县20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年国民经济和社会发展统计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N w:val="0"/>
        <w:bidi w:val="0"/>
        <w:adjustRightIn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公 报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楷体" w:eastAsia="楷体" w:cs="楷体"/>
          <w:sz w:val="32"/>
          <w:szCs w:val="32"/>
          <w:highlight w:val="none"/>
          <w:lang w:bidi="ar-SA"/>
        </w:rPr>
      </w:pP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楷体" w:eastAsia="楷体" w:cs="楷体"/>
          <w:sz w:val="32"/>
          <w:szCs w:val="32"/>
          <w:highlight w:val="none"/>
          <w:lang w:bidi="ar-SA"/>
        </w:rPr>
      </w:pPr>
      <w:r>
        <w:rPr>
          <w:rFonts w:hint="eastAsia" w:ascii="楷体" w:eastAsia="楷体" w:cs="楷体"/>
          <w:sz w:val="32"/>
          <w:szCs w:val="32"/>
          <w:highlight w:val="none"/>
          <w:lang w:val="en-US" w:eastAsia="zh-CN" w:bidi="ar-SA"/>
        </w:rPr>
        <w:t>和田</w:t>
      </w:r>
      <w:r>
        <w:rPr>
          <w:rFonts w:hint="eastAsia" w:ascii="楷体" w:eastAsia="楷体" w:cs="楷体"/>
          <w:sz w:val="32"/>
          <w:szCs w:val="32"/>
          <w:highlight w:val="none"/>
          <w:lang w:bidi="ar-SA"/>
        </w:rPr>
        <w:t>县统计局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楷体" w:eastAsia="楷体" w:cs="楷体"/>
          <w:sz w:val="32"/>
          <w:szCs w:val="32"/>
          <w:highlight w:val="none"/>
          <w:lang w:bidi="ar-SA"/>
        </w:rPr>
      </w:pPr>
      <w:r>
        <w:rPr>
          <w:rFonts w:hint="eastAsia" w:ascii="楷体" w:eastAsia="楷体" w:cs="楷体"/>
          <w:sz w:val="32"/>
          <w:szCs w:val="32"/>
          <w:highlight w:val="none"/>
          <w:lang w:bidi="ar-SA"/>
        </w:rPr>
        <w:t>20</w:t>
      </w:r>
      <w:r>
        <w:rPr>
          <w:rFonts w:hint="eastAsia" w:ascii="楷体" w:eastAsia="楷体" w:cs="楷体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楷体" w:eastAsia="楷体" w:cs="楷体"/>
          <w:sz w:val="32"/>
          <w:szCs w:val="32"/>
          <w:highlight w:val="none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楷体" w:eastAsia="楷体" w:cs="楷体"/>
          <w:sz w:val="32"/>
          <w:szCs w:val="32"/>
          <w:highlight w:val="none"/>
          <w:lang w:bidi="ar-SA"/>
        </w:rPr>
        <w:t>月</w:t>
      </w:r>
      <w:r>
        <w:rPr>
          <w:rFonts w:hint="eastAsia" w:ascii="楷体" w:eastAsia="楷体" w:cs="楷体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楷体" w:eastAsia="楷体" w:cs="楷体"/>
          <w:sz w:val="32"/>
          <w:szCs w:val="32"/>
          <w:highlight w:val="none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0"/>
          <w:szCs w:val="20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20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在以习近平同志为核心的党中央坚强领导下，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在自治区党委、地委、县委的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关怀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和安排部署下，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全县上下认真贯彻落实新时代党的治疆方略，聚焦社会稳定和长治久安总目标，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转型升级扎实推进，发展质效不断提升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始终坚持稳中求进工作总基调，全年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国民经济平稳运行，主要指标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增速好于预期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实现了和田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经济持续健康稳定发展。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444500</wp:posOffset>
            </wp:positionV>
            <wp:extent cx="3949700" cy="2637155"/>
            <wp:effectExtent l="0" t="0" r="0" b="0"/>
            <wp:wrapSquare wrapText="bothSides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初步核算，2021年和田县实现生产总值（GDP）525706万元，按可比价计算，同比增长6.6%。分三次产业来看，第一产业实现增加值143381万元，同比增长10.2%；第二产业实现增加值96125万元，</w:t>
      </w:r>
      <w:bookmarkStart w:id="0" w:name="_Hlk70204293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同比增长12.8%</w:t>
      </w:r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；第三产业实现增加值286199万元，同比增长3.2%。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地区反馈第七次全国人口普查数据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计算，人均生产总值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15344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元，同比增长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13.12%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 xml:space="preserve">。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一、二、三产业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GDP比重分别为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是27.27%、18.29%、54.44%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245110</wp:posOffset>
            </wp:positionV>
            <wp:extent cx="5046345" cy="2134870"/>
            <wp:effectExtent l="0" t="0" r="1905" b="17780"/>
            <wp:wrapSquare wrapText="bothSides"/>
            <wp:docPr id="22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  <w:t>农林牧渔业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年度全县农林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牧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（现价）总产值达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385455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10.22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%。其中：农业总产值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237708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6.03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%；林业总产值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9346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7.29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；畜牧业总产值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129669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万元，同比增长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21.58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%；渔业总产值1972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9.57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%；农林牧渔服务业产值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6760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1.58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%。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全年粮食播种面积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36.33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万亩,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7.3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%。其中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小麦播种面积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22.06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10.06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%；玉米播种面积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11.46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下降4.6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%；水稻播种面积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2.45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增长36.89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%。棉花面积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15.21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%；油料面积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0.71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37.24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%；蔬菜面积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13.7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薯类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（鲜薯）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0273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同比下降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89.89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全年粮食总产量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12.15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万吨，同比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下降52.6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%。其中：小麦产量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7.51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万吨，同比增长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16.48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%；玉米产量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3.32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万吨，同比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下降81.79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%；水稻产量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1.13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增长63.28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%。全年棉花产量0.0634万吨，同比增长56.1%；油料产量0.0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967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万吨，同比增长86.7%；蔬菜产量13.49万吨，同比增长1.84%；薯类（鲜薯）产量0.065万吨，同比下降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41.23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全年人工造林面积0.37万亩，更新造林0.0255万亩，四旁零星植树8.65万株，防护林0.3403万亩，幼林抚育作业5.5万亩，幼林抚育实际面积5.69万亩，成林抚育面积51.5万亩，当年苗木产量17.6万株，育苗面积0.121万亩，木材年采伐0.11万立方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全县羊存栏69.93万只，牛存栏2.78万头，猪存栏1.04万头，活家禽存栏116.44万只。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羊出栏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44.53万只，牛出栏2.96万头，猪出栏1.43万头；活家禽出栏257.8万只。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猪肉产量0.11万吨，牛肉产量0.48万吨，羊肉产量0.76万吨；禽肉产量0.44万吨，禽蛋产量0.28万吨，生牛奶产量0.5万吨。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年末农业机械总动力151608千瓦。拖拉机拥有量4914台。拥有大型机械641台；机耕面积46.75万亩，机播面积34.53万亩，机械铺膜0.7万亩。机车检验率93%；机具检修合格率92%。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全年农用化肥施用量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8222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吨，与上年持平；农用塑料薄膜使用量0.0061万吨，增长7.0%；农药使用量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33.1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吨，同比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下降5.46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  <w:t>三、农牧民人均纯收入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443865</wp:posOffset>
            </wp:positionV>
            <wp:extent cx="4257675" cy="2028825"/>
            <wp:effectExtent l="0" t="0" r="0" b="0"/>
            <wp:wrapSquare wrapText="bothSides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和田县202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年全年实现农牧民人均纯收入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12552.63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元，较上年同期增加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1126.23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元，增长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9.86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%。其中：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第一产业人均纯收入5873.34元，同比增长3.65%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；第二产业人均纯收入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475.07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元，占农牧民人均纯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收入的3.69%，增长1.95%；第三产业人均纯收入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851.09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元，占农牧民人均纯收入的6.61%，增长6.91%；外出劳务人均纯收入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4872.65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元，占农牧民人均纯收入的37.87%，增长19.73%；集体再分配人均纯收入（报酬性收入）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480.48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元，占农牧民人均纯收入的3.37%，增长12.26%。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  <w:lang w:val="en-US" w:eastAsia="zh-CN"/>
        </w:rPr>
      </w:pP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23495</wp:posOffset>
            </wp:positionV>
            <wp:extent cx="4008755" cy="2315845"/>
            <wp:effectExtent l="0" t="0" r="10795" b="8255"/>
            <wp:wrapSquare wrapText="bothSides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四、工业和建筑业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yellow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全县工业企业（全口径）累计完成工业增加值82181.7万元，同比增长21%。全县累计完成工业总产值226239.72万元，同比增长35.7%，累计完成工业销售产值227418.741万元，同比增长40.47%。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从轻重工业来看：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轻工业累计完成工业总产值64215.75万元，同比增长81.61%，重工业累计完成工业总产值162023.97万元，同比增长23.34%；轻工业累计完成工业销售产值64643.3万元，同比增长90.61%，重工业累计完成工业销售产值162775.45万元，同比增长27.19%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546100</wp:posOffset>
            </wp:positionV>
            <wp:extent cx="4270375" cy="2518410"/>
            <wp:effectExtent l="0" t="0" r="15875" b="15240"/>
            <wp:wrapSquare wrapText="bothSides"/>
            <wp:docPr id="23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模以上工业累计完成增加值64046.22万元，同比下降1.0%。累计完成工业总产值145801.72万元，同比下降4.77%，累计完成工业销售产值151049.55万元，同比下降1.0%。从轻重工业来看：轻工业累计完成工业总产值26967.74万元，同比下降11.98%，重工业累计完成工业总产值118833.98万元，同比下降2.96%；轻工业累计完成工业销售产值29470.44万元，同比下降4.18%，重工业累计完成工业销售产值121579.11万元，同比下降0.2%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业产品种类逐渐完善，新增工业产品生产稳定。全年原煤产量达96.78万吨，同比增长0.7%；发电量148165.93万千瓦小时，同比增长0.8%；砖产量达4693.95万块，同比增长122.8%；商品混凝土119.41万立方米，同比增长132.2%；水泥产量达68.27万吨，同比下降5.6%；建筑用天然石料91.24万立方米；水泥混凝土电杆7655根；金属门窗及类似制品254.94吨；钢结构2404.31吨；钢化玻璃1.13万平方米；家具4325件；人造板3955.54立方米；纸制品（瓦楞纸箱）113吨；塑料制品8031.01吨；服装产量达461.97万件；鞋（纺织面鞋）产量达212.4万双；饲料6753吨；饮料664.61吨；小麦粉4.3万吨；烘焙松脆食品99.71吨；焙炒核桃1212吨；冻肉2183.51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全年实现建筑业增加值41914万元，同比增长25.2%。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3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3683635</wp:posOffset>
            </wp:positionV>
            <wp:extent cx="3813175" cy="2369185"/>
            <wp:effectExtent l="0" t="0" r="15875" b="12065"/>
            <wp:wrapSquare wrapText="bothSides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1242695</wp:posOffset>
            </wp:positionV>
            <wp:extent cx="4133215" cy="2465705"/>
            <wp:effectExtent l="0" t="0" r="635" b="10795"/>
            <wp:wrapSquare wrapText="bothSides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五、全社会固定资产投资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　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全社会固定资产投资额完成725001万元，同比增长21.01%，从行业分布来看：第一产业完成投资225078万元，同比增长46.7%，第二产业完成投资176051万元，同比增长13.1%，第三产业完成投资323872万元，同比增长11.7%。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六、社会消费品零售总额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全县实现社会消费品零售总额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46281.74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16.74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城镇实现9099.7万元，同比增长265.1%；乡村实现37182万元，同比增长0.1%。从行业发展来看商品零售38292.4万元，同比增长7.36%；餐饮收入7989.3万元，同比增长100.84%。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七、招商引资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713105</wp:posOffset>
            </wp:positionV>
            <wp:extent cx="3143250" cy="1666875"/>
            <wp:effectExtent l="0" t="0" r="0" b="9525"/>
            <wp:wrapSquare wrapText="bothSides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2021年我县新建续建项目58个，共到位资金44亿元，同比增长14.1%。其中：新建项目48个，实际到位资金24.25亿元，同比下降2.3%；续建项目10个，实际到位资金19.76亿元，同比增长43.6%。完成年度任务44亿元的100%。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yellow"/>
          <w:shd w:val="clear" w:color="auto" w:fill="auto"/>
        </w:rPr>
      </w:pPr>
      <w:r>
        <w:rPr>
          <w:rFonts w:hint="eastAsia" w:ascii="黑体" w:eastAsia="黑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八、交通运输、旅游业、全社会用电量</w:t>
      </w:r>
    </w:p>
    <w:p>
      <w:pPr>
        <w:pStyle w:val="11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和田县公路总里程已达到4500.92公里，其中：国道28.06公里（G315、G580老兵路和田县境内），省道104.9公里(阿和公路、S216），高速公路10.04公里，G580国道95.92公里（和田县219国道建设中），农村公路4262公里。农村公路乡镇通畅率100%、建制村通达率100%。</w:t>
      </w:r>
    </w:p>
    <w:p>
      <w:pPr>
        <w:pStyle w:val="11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2021年实施建设农村公路项目4个，全长104.851公里，新建港湾式停靠站3处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停车场1处，调度系统1套。2021年完成对县域内县道、乡道、村道抽查10%～35%标准每年抽查工作，近三年县道优良中路率达到84.2%，乡道优良中路率67.2%,村道优良中路率62.1%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2021年全县旅游业发展势头良好，全年共接待游客93.948万人次，同比增长76%。实现旅游总收入5.79亿元，同比下降8.3%。全县共有国家4A级旅游景区1家，国家3A级景区全国农业旅游示范点3家，国家2A级景区全国农业旅游示范点11家；自治区级星级农家乐个12个(其中三星级农家乐6个、四星级农家乐1个)。</w:t>
      </w:r>
    </w:p>
    <w:p>
      <w:pPr>
        <w:pStyle w:val="11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1687195</wp:posOffset>
            </wp:positionV>
            <wp:extent cx="3290570" cy="2025015"/>
            <wp:effectExtent l="0" t="0" r="5080" b="13335"/>
            <wp:wrapSquare wrapText="bothSides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社会用电量6.71亿千瓦时，同比增长13.4%。其中第一产业用电量0.45亿千瓦时，同比增长22.9%；第二产业用电量2.02亿千瓦时，同比增长12.6%；第三产业用电量2.66亿千瓦时，同比增长8.4%；城乡居民生活用电量1.58亿千瓦时，同比增长21.1%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shd w:val="clear" w:color="auto" w:fill="auto"/>
        </w:rPr>
        <w:t>九、财政、金融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  <w:u w:val="none"/>
        </w:rPr>
      </w:pP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2168525</wp:posOffset>
            </wp:positionV>
            <wp:extent cx="3657600" cy="2076450"/>
            <wp:effectExtent l="0" t="0" r="0" b="0"/>
            <wp:wrapSquare wrapText="bothSides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2021年我县公共财政预算收入31912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同比增长22.5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其中税收收入累计完成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23318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44.3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73.07%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；非税收入累计完成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8594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同比下降13.1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，非税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26.93%。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</w:rPr>
        <w:t>和田县公共财政一般预算支出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577736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万元，同比下降7.4%，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人员经费支出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208833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5.58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36.15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%；商品和服务支出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3998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同比增长7.18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%；专项支出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364905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同比下降13.64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63.2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和田县信用合作联社资产总额为361097.84万元，同比下降0.87%，负债总额338464.36万元，同比下降1.64%。各项存款余额为314273万元，同比下降0.34%；贷款余额303499.87万元，同比下降0.55%；营业总收入16212.38万元，同比增长6.46%；营业利润2588.75万元，同比增长111.92%；利润总额3347.11万元，同比增长67.45%；营业利润率15.97%，营业费用率35.77%，不良贷款率4.63%，资产负债率93.41%；存贷比率96.77%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十、脱贫攻坚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2021年和田县扶贫资金投入总额98987.64万元，其中：巩固拓展脱贫攻坚成果和乡村振兴任务资金53566.5万元，以工代赈资金3705万元，少数民资发展资金3903万元，国有贫困国有林场资金250万元，涉农统筹整合资金（含原渠道使用资金）27463.13万元，地方债券资金10000万元，县级配套资金100万元，扶持脱贫户（监测户）36898户163836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十一、水利建设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line="560" w:lineRule="exact"/>
        <w:jc w:val="left"/>
        <w:textAlignment w:val="auto"/>
        <w:rPr>
          <w:rFonts w:hint="default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2021年委托和田地区疾病预控控制中心对我县17座水厂出厂水、未梢水进行水质检测，共检测水样150份，均达到《新疆维吾尔自治区脱贫攻坚农村饮水安全验收标准》（新水厅〔2019〕143号)“四项”指标要求，确保全县饮水安全。全县灌溉总面积为76.25万亩，灌溉合计用水量为47942.85万立方米。累计完成清理渠道1944.5公里，维修渠道长度2.055公里，维修养护建筑物840处，新修加固防洪险段71处，总长度9300米。全年和田河和田灌区总灌溉面积76.25万亩，有效灌溉面积63.22万亩，高效节水面积31.39万亩（正常运行21.33万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十二、教育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全县共有各级各类学校289所，其中幼儿园133所、小学141所（含18个教学点）、初中11所（初级中学10所、九年一贯制学校1所）、高中3所（完全中学1所、普通高中2所） 、职业高中1所。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全县共有3263个班级128048名在校生，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其中幼儿园教学班815个，在园幼儿总数25888名；小学教学班1833个，在校学生总数73120名；初中教学班384个，在校学生总数17978名；高中教学班137个，在校学生总数6650名；职业技术学校94个教学班，在校学生4412名。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全县共有教职工6778名（少数民族教师4479名），其中幼儿园教职工数1602名（专任教师数1478名，其中少数民族教师881名）；小学教职工数3162名（专任教师2621名，其中少数民族教师1603名）；中学教职工数1338名（专任教师数1154名，其中少数民族教师805名）；高中教职工数586名（专任教师543名，其中少数民族教师401名）；职业技术学校教职工数名90名（专任教师数71名，其中少数民族教师54名）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全县各级各类学校校舍建筑总面积有109.04万平方米，其中幼儿园16.35万平方米、小学47.63万平方米、初中22.51万平方米、高中14.36万平方米、职业高中8.19万平方米。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十三、文化、融媒体、体育和卫生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2021年全县各级图书馆、文化站、村文化石共有藏书10.69万册，图书品种10527种，其中：维语品种册数37390册413种，汉语品种册数65590册10114种。和田县广播台现开办维吾尔语调频广播1套（频率为99.2兆赫），汉语调频广播1套（频率为97.4兆赫），每天同步播出时间为16小时，维语广播覆盖全县，全县本地广播信号覆盖率为%。和田县电视台现开办电视节目2套（维、汉语各1套），每天播出时间为17小时，数字有线内2套节目，数字无线传输2套节目，在各大网络平台（抖音、头条、快手、APP、零距离等 ）加强新媒体宣传力度。文工团有1辆流动舞台演出车、1辆流动舞台道具车，开展各类“三合一”、“四合一”文艺演出、“文艺演出进院校”，开展“民族团结一家亲”文艺活动等弹出569场，惠及群众98201人次；“和田县2021年春节联欢晚会”，“庆祝建党100周年”、“美食周”、“丰收节”等各项大型综合歌舞汇演活动，演出8场，线下惠及群众6000多余人次，线上浏览观众3万多余人次。和田县共有不可移动文物35处，非物质文化遗产项目17个，现有各类文化经营场所9家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全县共有各类卫生医疗机构18所，其中县级（综合）医院1所，维吾尔医院1所，疾病预防控制中心1所，卫生监督机构1所，妇幼保健机构1所，乡镇卫生院13所。卫生机构拥有编制床位939张，实有床位1362张（县级医院484张，实有515张；乡镇卫生院555张，实有847张）。城乡医疗卫生专业技术人才队伍建设不断加强，全县卫生技术人员1642人（含招聘），其中执业医师（含执业助理222人。目前全县民营医院2家，在职人员218人，共有医师44人，护士87人，药师7人，编制床位177张，实际开放177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十四、人民生活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388" w:firstLineChars="185"/>
        <w:textAlignment w:val="auto"/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890270</wp:posOffset>
            </wp:positionV>
            <wp:extent cx="3442970" cy="1799590"/>
            <wp:effectExtent l="0" t="0" r="5080" b="10160"/>
            <wp:wrapSquare wrapText="bothSides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2021年和田县农村居民人均可支配收入11059.6元，增长8.6%。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十五、劳动就业和社会保障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592" w:firstLineChars="185"/>
        <w:textAlignment w:val="auto"/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2021年全县实现再就业2727人，比上年增加123人，同比增长4.7%；累计转移农村富裕劳动力88774人次，同比增长1.4%，其中：县内转移就业79856人次，地区内富余劳动力转移750人次，疆内转移富余劳动力5825人次，疆外转移富余劳动力2343人次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592" w:firstLineChars="185"/>
        <w:textAlignment w:val="auto"/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全县各项保险累计参保人数达351681人，其中：参加城镇职工基本医疗保险19062人，参保率为100%，参加城乡居民基本医疗保险332619人，参保率为100%；参加生育保险人数16244人，参保率为100%。参加基本养老保险16831人，参保率为102%，参加城乡居民基本养老保险参保178112人(包括已享受待遇20159人)，参保率为109.48%；参加失业保险人数达13152人，参保率为101%；参加工伤保险人数17689人，参保率为112%，基本实现社会养老保险城乡全覆盖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592" w:firstLineChars="185"/>
        <w:textAlignment w:val="auto"/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解决城镇居民最低生活保障1651人，农村居民最低生活保障64732人。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592" w:firstLineChars="185"/>
        <w:textAlignment w:val="auto"/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共有社会服务机构26个，其中10所敬老院（阿瓦提乡敬老院，巴格其镇敬老院，布扎克乡敬老院，罕艾日克镇敬老院，喀什塔什乡敬老院，拉依喀乡敬老院，郎如乡敬老院，塔瓦库勒乡敬老院，吾宗肖乡敬老院，英阿瓦提乡敬老院），共有床位数912张；15所农村幸福大院（阿瓦提乡幸福大院，巴格其镇幸福大院，布扎克乡幸福大院，稻香幸福大院，罕艾日克镇幸福大院，喀什塔什乡幸福大院，拉依喀乡幸福大院，郎如乡幸福大院，色格孜库勒乡幸福大院，沙田幸福大院，塔瓦库勒乡幸福大院，吾宗肖乡幸福大院，银海幸福大院，英阿瓦提乡幸福大院，英艾日克乡幸福大院），共有床位数1500张；1所儿童福利院，共有床位数150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、环境和应急管理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2021年，和田县环境空气站有效监测天数361天，优良天数70天（占比19.4%），同比2020年提升13.5%；重污染天气105天占比29.1%，同比2020年降低12.5%。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2021年未发生较大以上生产安全责任事故，2021年以来，和田县各类事故死亡人数呈下降趋势，全县各类事故死亡人数和直接经济损失较2020年分别下降，事故期数同比下降25%；死亡人数下降36.17%；受伤人数下降25.93%，经济损失下降55.01%；今年目标特别重大事故、重大事故较大事故、死亡人数双下降，实现零控制指标范围，安全生产形势总体状况保持持续稳定好转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line="560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highlight w:val="yellow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注：  1.本公报中数据均为初步统计数。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　　　2.地区生产总值、各产业增加值绝对数按现价计算，增长速度按不变价格计算。规模以上工业是指年主营业务收入（产品销售收入）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万元以上的工业法人企业。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　　  3.旅游、招商引资、金融、教育、文化、卫生等方面数据为有关部门提供。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96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核算数据以地区年鉴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反馈数据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为准。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资料来源：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　　本公报中主要经济指标数据来源于统计局，其他数据来源于相关部门。其中：林业数据来源于林业和草原局；公路客货运输量来源于交通运输局；旅游数据来源于文化和旅游局；财政数据来源于财政局；金融信贷数据来源于和田县信用合作联社；教育数据来源于教育局；卫生数据来源于卫生健康委员会；脱贫数据来源于乡村振兴局；就业与社会保障数据来源于人力资源和社会保障局；医疗保险数据来源于医疗保障局；电视、广播数据来源于融媒体中心；城乡低保数据来源于民政局；环境监测及自然保护区数据来源于生态环境局；安全生产数据来源于应急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16"/>
          <w:szCs w:val="16"/>
          <w:highlight w:val="yellow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790D"/>
    <w:rsid w:val="01231218"/>
    <w:rsid w:val="01A1563E"/>
    <w:rsid w:val="04224A7C"/>
    <w:rsid w:val="04515D55"/>
    <w:rsid w:val="049D370A"/>
    <w:rsid w:val="049E3A90"/>
    <w:rsid w:val="056C53A4"/>
    <w:rsid w:val="06182CB8"/>
    <w:rsid w:val="071A05F7"/>
    <w:rsid w:val="072714F2"/>
    <w:rsid w:val="0782463B"/>
    <w:rsid w:val="08655D56"/>
    <w:rsid w:val="08FC52E0"/>
    <w:rsid w:val="0AF37FE3"/>
    <w:rsid w:val="0CC82AC9"/>
    <w:rsid w:val="0CF15AE5"/>
    <w:rsid w:val="0D1A2E00"/>
    <w:rsid w:val="10DE1100"/>
    <w:rsid w:val="117504F2"/>
    <w:rsid w:val="12982916"/>
    <w:rsid w:val="130A25EA"/>
    <w:rsid w:val="156124A4"/>
    <w:rsid w:val="16A82409"/>
    <w:rsid w:val="17894A6B"/>
    <w:rsid w:val="1885259C"/>
    <w:rsid w:val="19EA1A11"/>
    <w:rsid w:val="1A3F2601"/>
    <w:rsid w:val="1AC76A99"/>
    <w:rsid w:val="1AE96498"/>
    <w:rsid w:val="1AF30FAA"/>
    <w:rsid w:val="1BCD4B34"/>
    <w:rsid w:val="1BCE746A"/>
    <w:rsid w:val="1CB25EEB"/>
    <w:rsid w:val="1EF62035"/>
    <w:rsid w:val="21181C62"/>
    <w:rsid w:val="27113901"/>
    <w:rsid w:val="285878B9"/>
    <w:rsid w:val="28AA78CC"/>
    <w:rsid w:val="2AEA790D"/>
    <w:rsid w:val="2E4B3D1D"/>
    <w:rsid w:val="2E7151B6"/>
    <w:rsid w:val="31D00F52"/>
    <w:rsid w:val="327B6A3D"/>
    <w:rsid w:val="339727FC"/>
    <w:rsid w:val="339B62B2"/>
    <w:rsid w:val="34316FFC"/>
    <w:rsid w:val="34EB4EB5"/>
    <w:rsid w:val="35D32EC0"/>
    <w:rsid w:val="35FB4189"/>
    <w:rsid w:val="36601B3C"/>
    <w:rsid w:val="3745274F"/>
    <w:rsid w:val="378A4225"/>
    <w:rsid w:val="38881C09"/>
    <w:rsid w:val="38D348AB"/>
    <w:rsid w:val="39560FBD"/>
    <w:rsid w:val="3D946B4F"/>
    <w:rsid w:val="3DC9785E"/>
    <w:rsid w:val="3E051303"/>
    <w:rsid w:val="411A0037"/>
    <w:rsid w:val="418B24A0"/>
    <w:rsid w:val="428C7B6F"/>
    <w:rsid w:val="42995E9C"/>
    <w:rsid w:val="43982600"/>
    <w:rsid w:val="45886060"/>
    <w:rsid w:val="46493171"/>
    <w:rsid w:val="47A5405B"/>
    <w:rsid w:val="47FF5861"/>
    <w:rsid w:val="482C78D5"/>
    <w:rsid w:val="48844B4E"/>
    <w:rsid w:val="491E7E81"/>
    <w:rsid w:val="49AA5EE7"/>
    <w:rsid w:val="4A0D0519"/>
    <w:rsid w:val="4A392ACA"/>
    <w:rsid w:val="4B0726EF"/>
    <w:rsid w:val="4B4634C1"/>
    <w:rsid w:val="4B6B22CD"/>
    <w:rsid w:val="4EA375A1"/>
    <w:rsid w:val="510F4F95"/>
    <w:rsid w:val="51353249"/>
    <w:rsid w:val="51FD5DD6"/>
    <w:rsid w:val="52C52617"/>
    <w:rsid w:val="53335D01"/>
    <w:rsid w:val="54744C6A"/>
    <w:rsid w:val="54A821A4"/>
    <w:rsid w:val="55B02403"/>
    <w:rsid w:val="55E26B86"/>
    <w:rsid w:val="56784221"/>
    <w:rsid w:val="56AD77B2"/>
    <w:rsid w:val="57A153A1"/>
    <w:rsid w:val="58DA4396"/>
    <w:rsid w:val="5B7D5996"/>
    <w:rsid w:val="5CBF7D32"/>
    <w:rsid w:val="5DCB1778"/>
    <w:rsid w:val="5E767095"/>
    <w:rsid w:val="5F5E7028"/>
    <w:rsid w:val="5FD75072"/>
    <w:rsid w:val="601A0383"/>
    <w:rsid w:val="60C4743D"/>
    <w:rsid w:val="60F35B72"/>
    <w:rsid w:val="612311C9"/>
    <w:rsid w:val="6143234F"/>
    <w:rsid w:val="63574548"/>
    <w:rsid w:val="639F723F"/>
    <w:rsid w:val="65717C1E"/>
    <w:rsid w:val="68794D7B"/>
    <w:rsid w:val="68FD3243"/>
    <w:rsid w:val="697C62FA"/>
    <w:rsid w:val="6BC04835"/>
    <w:rsid w:val="6C3C1CFF"/>
    <w:rsid w:val="6C896F71"/>
    <w:rsid w:val="6CB8216F"/>
    <w:rsid w:val="6FA24ECE"/>
    <w:rsid w:val="70171C79"/>
    <w:rsid w:val="722D1D8D"/>
    <w:rsid w:val="723E3D14"/>
    <w:rsid w:val="72A112ED"/>
    <w:rsid w:val="74817B25"/>
    <w:rsid w:val="7496699D"/>
    <w:rsid w:val="75163534"/>
    <w:rsid w:val="76062641"/>
    <w:rsid w:val="7665611F"/>
    <w:rsid w:val="76880B63"/>
    <w:rsid w:val="773E7FDE"/>
    <w:rsid w:val="781C6164"/>
    <w:rsid w:val="795C32D7"/>
    <w:rsid w:val="7A711643"/>
    <w:rsid w:val="7B366A67"/>
    <w:rsid w:val="7D834C34"/>
    <w:rsid w:val="7E3E5362"/>
    <w:rsid w:val="7EC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qFormat/>
    <w:uiPriority w:val="0"/>
    <w:pPr>
      <w:shd w:val="clear" w:color="auto" w:fill="FFFFFF"/>
      <w:spacing w:before="120" w:line="528" w:lineRule="exact"/>
      <w:ind w:firstLine="560"/>
      <w:jc w:val="distribute"/>
    </w:pPr>
  </w:style>
  <w:style w:type="paragraph" w:styleId="5">
    <w:name w:val="Plain Text"/>
    <w:basedOn w:val="1"/>
    <w:next w:val="1"/>
    <w:qFormat/>
    <w:uiPriority w:val="0"/>
    <w:pPr>
      <w:widowControl w:val="0"/>
      <w:jc w:val="both"/>
    </w:pPr>
    <w:rPr>
      <w:rFonts w:ascii="宋体" w:eastAsia="宋体"/>
      <w:kern w:val="2"/>
      <w:sz w:val="21"/>
      <w:szCs w:val="21"/>
      <w:lang w:val="en-US" w:eastAsia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table of authorities"/>
    <w:basedOn w:val="1"/>
    <w:next w:val="1"/>
    <w:qFormat/>
    <w:uiPriority w:val="0"/>
    <w:pPr>
      <w:ind w:left="200" w:leftChars="200"/>
    </w:pPr>
  </w:style>
  <w:style w:type="paragraph" w:customStyle="1" w:styleId="11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BodyText"/>
    <w:basedOn w:val="1"/>
    <w:next w:val="1"/>
    <w:qFormat/>
    <w:uiPriority w:val="0"/>
    <w:pPr>
      <w:spacing w:line="600" w:lineRule="exact"/>
      <w:jc w:val="both"/>
      <w:textAlignment w:val="baseline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hart" Target="charts/chart11.xml"/><Relationship Id="rId13" Type="http://schemas.openxmlformats.org/officeDocument/2006/relationships/chart" Target="charts/chart10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dministrator\Desktop\&#32479;&#35745;&#20844;&#25253;&#21450;&#20004;&#32434;&#24037;&#20316;\2021&#24180;&#20844;&#25253;&#22270;&#2663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>
                <a:solidFill>
                  <a:schemeClr val="tx1"/>
                </a:solidFill>
              </a:rPr>
              <a:t>2017</a:t>
            </a:r>
            <a:r>
              <a:rPr altLang="en-US">
                <a:solidFill>
                  <a:schemeClr val="tx1"/>
                </a:solidFill>
              </a:rPr>
              <a:t>年</a:t>
            </a:r>
            <a:r>
              <a:rPr lang="en-US" altLang="zh-CN">
                <a:solidFill>
                  <a:schemeClr val="tx1"/>
                </a:solidFill>
              </a:rPr>
              <a:t>-2021</a:t>
            </a:r>
            <a:r>
              <a:rPr altLang="en-US">
                <a:solidFill>
                  <a:schemeClr val="tx1"/>
                </a:solidFill>
              </a:rPr>
              <a:t>年</a:t>
            </a:r>
            <a:r>
              <a:rPr>
                <a:solidFill>
                  <a:schemeClr val="tx1"/>
                </a:solidFill>
              </a:rPr>
              <a:t>地区产总值（</a:t>
            </a:r>
            <a:r>
              <a:rPr lang="en-US" altLang="zh-CN">
                <a:solidFill>
                  <a:schemeClr val="tx1"/>
                </a:solidFill>
              </a:rPr>
              <a:t>GDP</a:t>
            </a:r>
            <a:r>
              <a:rPr>
                <a:solidFill>
                  <a:schemeClr val="tx1"/>
                </a:solidFill>
              </a:rPr>
              <a:t>）及增速</a:t>
            </a:r>
            <a:endParaRPr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21199403101096"/>
          <c:y val="0.022989172467130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[2021年公报图标.xlsx]Sheet1!$A$3</c:f>
              <c:strCache>
                <c:ptCount val="1"/>
                <c:pt idx="0">
                  <c:v>地区生产总值（GDP）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[2021年公报图标.xlsx]Sheet1!$B$2:$F$2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[2021年公报图标.xlsx]Sheet1!$B$3:$F$3</c:f>
              <c:numCache>
                <c:formatCode>General</c:formatCode>
                <c:ptCount val="5"/>
                <c:pt idx="0">
                  <c:v>342469</c:v>
                </c:pt>
                <c:pt idx="1">
                  <c:v>380977</c:v>
                </c:pt>
                <c:pt idx="2">
                  <c:v>424588</c:v>
                </c:pt>
                <c:pt idx="3">
                  <c:v>464750</c:v>
                </c:pt>
                <c:pt idx="4">
                  <c:v>525706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4572851"/>
        <c:axId val="128175036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[2021年公报图标.xlsx]Sheet1!$A$4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[2021年公报图标.xlsx]Sheet1!$B$2:$F$2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[2021年公报图标.xlsx]Sheet1!$B$4:$F$4</c:f>
              <c:numCache>
                <c:formatCode>0.0_ </c:formatCode>
                <c:ptCount val="5"/>
                <c:pt idx="0">
                  <c:v>13.48</c:v>
                </c:pt>
                <c:pt idx="1">
                  <c:v>11.24</c:v>
                </c:pt>
                <c:pt idx="2">
                  <c:v>7.9</c:v>
                </c:pt>
                <c:pt idx="3">
                  <c:v>5</c:v>
                </c:pt>
                <c:pt idx="4">
                  <c:v>6.6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64592666"/>
        <c:axId val="354223451"/>
      </c:lineChart>
      <c:catAx>
        <c:axId val="86457285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8175036"/>
        <c:crosses val="autoZero"/>
        <c:auto val="1"/>
        <c:lblAlgn val="ctr"/>
        <c:lblOffset val="100"/>
        <c:noMultiLvlLbl val="0"/>
      </c:catAx>
      <c:valAx>
        <c:axId val="1281750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>
                    <a:solidFill>
                      <a:schemeClr val="tx1"/>
                    </a:solidFill>
                  </a:rPr>
                  <a:t>地区生产总值（万元）</a:t>
                </a:r>
                <a:endParaRPr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0264403005844698"/>
              <c:y val="0.2100232018561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64572851"/>
        <c:crosses val="autoZero"/>
        <c:crossBetween val="between"/>
      </c:valAx>
      <c:catAx>
        <c:axId val="16459266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54223451"/>
        <c:crosses val="autoZero"/>
        <c:auto val="1"/>
        <c:lblAlgn val="ctr"/>
        <c:lblOffset val="100"/>
        <c:noMultiLvlLbl val="0"/>
      </c:catAx>
      <c:valAx>
        <c:axId val="354223451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>
                    <a:solidFill>
                      <a:schemeClr val="tx1"/>
                    </a:solidFill>
                  </a:rPr>
                  <a:t>增速</a:t>
                </a:r>
                <a:r>
                  <a:rPr lang="en-US" altLang="zh-CN">
                    <a:solidFill>
                      <a:schemeClr val="tx1"/>
                    </a:solidFill>
                  </a:rPr>
                  <a:t>%</a:t>
                </a:r>
                <a:endParaRPr>
                  <a:solidFill>
                    <a:schemeClr val="tx1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59266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地方财政一般预算支出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[2021年公报图标.xlsx]Sheet1!$A$81</c:f>
              <c:strCache>
                <c:ptCount val="1"/>
                <c:pt idx="0">
                  <c:v>地方财政一般预算支出（万元）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[2021年公报图标.xlsx]Sheet1!$B$80:$F$80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[2021年公报图标.xlsx]Sheet1!$B$81:$F$81</c:f>
              <c:numCache>
                <c:formatCode>General</c:formatCode>
                <c:ptCount val="5"/>
                <c:pt idx="0">
                  <c:v>440426</c:v>
                </c:pt>
                <c:pt idx="1">
                  <c:v>527320</c:v>
                </c:pt>
                <c:pt idx="2">
                  <c:v>648152</c:v>
                </c:pt>
                <c:pt idx="3">
                  <c:v>621583</c:v>
                </c:pt>
                <c:pt idx="4">
                  <c:v>577736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279590"/>
        <c:axId val="873552071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[2021年公报图标.xlsx]Sheet1!$A$82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[2021年公报图标.xlsx]Sheet1!$B$80:$F$80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[2021年公报图标.xlsx]Sheet1!$B$82:$F$82</c:f>
              <c:numCache>
                <c:formatCode>General</c:formatCode>
                <c:ptCount val="5"/>
                <c:pt idx="0">
                  <c:v>47.1</c:v>
                </c:pt>
                <c:pt idx="1">
                  <c:v>18.7</c:v>
                </c:pt>
                <c:pt idx="2">
                  <c:v>23.7</c:v>
                </c:pt>
                <c:pt idx="3">
                  <c:v>-4.1</c:v>
                </c:pt>
                <c:pt idx="4">
                  <c:v>-7.4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18269113"/>
        <c:axId val="730519056"/>
      </c:lineChart>
      <c:catAx>
        <c:axId val="15427959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3552071"/>
        <c:crosses val="autoZero"/>
        <c:auto val="1"/>
        <c:lblAlgn val="ctr"/>
        <c:lblOffset val="100"/>
        <c:noMultiLvlLbl val="0"/>
      </c:catAx>
      <c:valAx>
        <c:axId val="873552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279590"/>
        <c:crosses val="autoZero"/>
        <c:crossBetween val="between"/>
      </c:valAx>
      <c:catAx>
        <c:axId val="81826911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0519056"/>
        <c:crosses val="autoZero"/>
        <c:auto val="1"/>
        <c:lblAlgn val="ctr"/>
        <c:lblOffset val="100"/>
        <c:noMultiLvlLbl val="0"/>
      </c:catAx>
      <c:valAx>
        <c:axId val="7305190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8269113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农村居民人均可支配收入情况表</a:t>
            </a:r>
          </a:p>
        </c:rich>
      </c:tx>
      <c:layout>
        <c:manualLayout>
          <c:xMode val="edge"/>
          <c:yMode val="edge"/>
          <c:x val="0.147157190635452"/>
          <c:y val="0.029775102945834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[2021年公报图标.xlsx]Sheet1!$A$120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[2021年公报图标.xlsx]Sheet1!$B$119:$F$119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[2021年公报图标.xlsx]Sheet1!$B$120:$F$120</c:f>
              <c:numCache>
                <c:formatCode>General</c:formatCode>
                <c:ptCount val="5"/>
                <c:pt idx="0">
                  <c:v>7859.81</c:v>
                </c:pt>
                <c:pt idx="1">
                  <c:v>8550</c:v>
                </c:pt>
                <c:pt idx="2">
                  <c:v>9422</c:v>
                </c:pt>
                <c:pt idx="3">
                  <c:v>10184</c:v>
                </c:pt>
                <c:pt idx="4" c:formatCode="0.0_ ">
                  <c:v>11059.6206812846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640848"/>
        <c:axId val="101918377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[2021年公报图标.xlsx]Sheet1!$A$121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[2021年公报图标.xlsx]Sheet1!$B$119:$F$119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[2021年公报图标.xlsx]Sheet1!$B$121:$F$121</c:f>
              <c:numCache>
                <c:formatCode>General</c:formatCode>
                <c:ptCount val="5"/>
                <c:pt idx="0">
                  <c:v>7.9</c:v>
                </c:pt>
                <c:pt idx="1">
                  <c:v>8.8</c:v>
                </c:pt>
                <c:pt idx="2">
                  <c:v>10.2</c:v>
                </c:pt>
                <c:pt idx="3">
                  <c:v>8.1</c:v>
                </c:pt>
                <c:pt idx="4">
                  <c:v>7.3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85176541"/>
        <c:axId val="402386258"/>
      </c:lineChart>
      <c:catAx>
        <c:axId val="2696408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1918377"/>
        <c:crosses val="autoZero"/>
        <c:auto val="1"/>
        <c:lblAlgn val="ctr"/>
        <c:lblOffset val="100"/>
        <c:noMultiLvlLbl val="0"/>
      </c:catAx>
      <c:valAx>
        <c:axId val="1019183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9640848"/>
        <c:crosses val="autoZero"/>
        <c:crossBetween val="between"/>
      </c:valAx>
      <c:catAx>
        <c:axId val="7851765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2386258"/>
        <c:crosses val="autoZero"/>
        <c:auto val="1"/>
        <c:lblAlgn val="ctr"/>
        <c:lblOffset val="100"/>
        <c:noMultiLvlLbl val="0"/>
      </c:catAx>
      <c:valAx>
        <c:axId val="40238625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51765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年</a:t>
            </a:r>
            <a:r>
              <a:rPr lang="en-US" altLang="zh-CN"/>
              <a:t>-2021</a:t>
            </a:r>
            <a:r>
              <a:rPr altLang="en-US"/>
              <a:t>年人均</a:t>
            </a:r>
            <a:r>
              <a:rPr lang="en-US" altLang="zh-CN"/>
              <a:t>GDP</a:t>
            </a:r>
            <a:r>
              <a:rPr altLang="en-US"/>
              <a:t>及增速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[2021年公报图标.xlsx]Sheet1!$A$14</c:f>
              <c:strCache>
                <c:ptCount val="1"/>
                <c:pt idx="0">
                  <c:v>人均GDP（元）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[2021年公报图标.xlsx]Sheet1!$B$13:$F$13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[2021年公报图标.xlsx]Sheet1!$B$14:$F$14</c:f>
              <c:numCache>
                <c:formatCode>General</c:formatCode>
                <c:ptCount val="5"/>
                <c:pt idx="0">
                  <c:v>9657</c:v>
                </c:pt>
                <c:pt idx="1">
                  <c:v>10686.2</c:v>
                </c:pt>
                <c:pt idx="2">
                  <c:v>11936.67</c:v>
                </c:pt>
                <c:pt idx="3">
                  <c:v>13565</c:v>
                </c:pt>
                <c:pt idx="4">
                  <c:v>15344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004497"/>
        <c:axId val="476895070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[2021年公报图标.xlsx]Sheet1!$A$15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[2021年公报图标.xlsx]Sheet1!$B$13:$F$13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[2021年公报图标.xlsx]Sheet1!$B$15:$F$15</c:f>
              <c:numCache>
                <c:formatCode>General</c:formatCode>
                <c:ptCount val="5"/>
                <c:pt idx="0">
                  <c:v>8.77</c:v>
                </c:pt>
                <c:pt idx="1">
                  <c:v>10.7</c:v>
                </c:pt>
                <c:pt idx="2">
                  <c:v>11.7</c:v>
                </c:pt>
                <c:pt idx="3">
                  <c:v>13.64</c:v>
                </c:pt>
                <c:pt idx="4">
                  <c:v>13.12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8579473"/>
        <c:axId val="711872876"/>
      </c:lineChart>
      <c:catAx>
        <c:axId val="960044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6895070"/>
        <c:crosses val="autoZero"/>
        <c:auto val="1"/>
        <c:lblAlgn val="ctr"/>
        <c:lblOffset val="100"/>
        <c:noMultiLvlLbl val="0"/>
      </c:catAx>
      <c:valAx>
        <c:axId val="47689507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004497"/>
        <c:crosses val="autoZero"/>
        <c:crossBetween val="between"/>
      </c:valAx>
      <c:catAx>
        <c:axId val="13857947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1872876"/>
        <c:crosses val="autoZero"/>
        <c:auto val="1"/>
        <c:lblAlgn val="ctr"/>
        <c:lblOffset val="100"/>
        <c:noMultiLvlLbl val="0"/>
      </c:catAx>
      <c:valAx>
        <c:axId val="71187287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579473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年</a:t>
            </a:r>
            <a:r>
              <a:rPr lang="en-US" altLang="zh-CN"/>
              <a:t>-2021</a:t>
            </a:r>
            <a:r>
              <a:rPr altLang="en-US"/>
              <a:t>年</a:t>
            </a:r>
            <a:r>
              <a:t>农牧民人均纯收入</a:t>
            </a:r>
          </a:p>
        </c:rich>
      </c:tx>
      <c:layout>
        <c:manualLayout>
          <c:xMode val="edge"/>
          <c:yMode val="edge"/>
          <c:x val="0.313756365689935"/>
          <c:y val="0.011467802566655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[2021年公报图标.xlsx]Sheet1!$A$23</c:f>
              <c:strCache>
                <c:ptCount val="1"/>
                <c:pt idx="0">
                  <c:v>农牧民人均纯收入（元）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[2021年公报图标.xlsx]Sheet1!$B$22:$F$22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[2021年公报图标.xlsx]Sheet1!$B$23:$F$23</c:f>
              <c:numCache>
                <c:formatCode>General</c:formatCode>
                <c:ptCount val="5"/>
                <c:pt idx="0">
                  <c:v>8148.2</c:v>
                </c:pt>
                <c:pt idx="1">
                  <c:v>9041</c:v>
                </c:pt>
                <c:pt idx="2">
                  <c:v>10057.11</c:v>
                </c:pt>
                <c:pt idx="3">
                  <c:v>11426.4</c:v>
                </c:pt>
                <c:pt idx="4">
                  <c:v>12552.63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558546"/>
        <c:axId val="120109388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[2021年公报图标.xlsx]Sheet1!$A$24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[2021年公报图标.xlsx]Sheet1!$B$22:$F$22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[2021年公报图标.xlsx]Sheet1!$B$24:$F$24</c:f>
              <c:numCache>
                <c:formatCode>General</c:formatCode>
                <c:ptCount val="5"/>
                <c:pt idx="0">
                  <c:v>10.98</c:v>
                </c:pt>
                <c:pt idx="1">
                  <c:v>10.96</c:v>
                </c:pt>
                <c:pt idx="2">
                  <c:v>11.24</c:v>
                </c:pt>
                <c:pt idx="3">
                  <c:v>13.62</c:v>
                </c:pt>
                <c:pt idx="4">
                  <c:v>9.86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80673647"/>
        <c:axId val="448832221"/>
      </c:lineChart>
      <c:catAx>
        <c:axId val="3365585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0109388"/>
        <c:crosses val="autoZero"/>
        <c:auto val="1"/>
        <c:lblAlgn val="ctr"/>
        <c:lblOffset val="100"/>
        <c:noMultiLvlLbl val="0"/>
      </c:catAx>
      <c:valAx>
        <c:axId val="1201093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6558546"/>
        <c:crosses val="autoZero"/>
        <c:crossBetween val="between"/>
      </c:valAx>
      <c:catAx>
        <c:axId val="68067364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8832221"/>
        <c:crosses val="autoZero"/>
        <c:auto val="1"/>
        <c:lblAlgn val="ctr"/>
        <c:lblOffset val="100"/>
        <c:noMultiLvlLbl val="0"/>
      </c:catAx>
      <c:valAx>
        <c:axId val="448832221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0673647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年</a:t>
            </a:r>
            <a:r>
              <a:rPr lang="en-US" altLang="zh-CN"/>
              <a:t>-2021</a:t>
            </a:r>
            <a:r>
              <a:rPr altLang="en-US"/>
              <a:t>年全口径</a:t>
            </a:r>
            <a:r>
              <a:t>工业增加值及增速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[2021年公报图标.xlsx]Sheet1!$A$33</c:f>
              <c:strCache>
                <c:ptCount val="1"/>
                <c:pt idx="0">
                  <c:v>工业总产值（万元）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[2021年公报图标.xlsx]Sheet1!$B$32:$F$32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[2021年公报图标.xlsx]Sheet1!$B$33:$F$33</c:f>
              <c:numCache>
                <c:formatCode>General</c:formatCode>
                <c:ptCount val="5"/>
                <c:pt idx="0">
                  <c:v>32851.11</c:v>
                </c:pt>
                <c:pt idx="1">
                  <c:v>37625.72</c:v>
                </c:pt>
                <c:pt idx="2">
                  <c:v>61271.1</c:v>
                </c:pt>
                <c:pt idx="3">
                  <c:v>81031.9</c:v>
                </c:pt>
                <c:pt idx="4">
                  <c:v>82181.7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616115"/>
        <c:axId val="340559806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[2021年公报图标.xlsx]Sheet1!$A$34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[2021年公报图标.xlsx]Sheet1!$B$32:$F$32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[2021年公报图标.xlsx]Sheet1!$B$34:$F$34</c:f>
              <c:numCache>
                <c:formatCode>General</c:formatCode>
                <c:ptCount val="5"/>
                <c:pt idx="0">
                  <c:v>9.6</c:v>
                </c:pt>
                <c:pt idx="1">
                  <c:v>19</c:v>
                </c:pt>
                <c:pt idx="2">
                  <c:v>50.8</c:v>
                </c:pt>
                <c:pt idx="3">
                  <c:v>22.1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83203167"/>
        <c:axId val="953040065"/>
      </c:lineChart>
      <c:catAx>
        <c:axId val="3556161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0559806"/>
        <c:crosses val="autoZero"/>
        <c:auto val="1"/>
        <c:lblAlgn val="ctr"/>
        <c:lblOffset val="100"/>
        <c:noMultiLvlLbl val="0"/>
      </c:catAx>
      <c:valAx>
        <c:axId val="34055980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5616115"/>
        <c:crosses val="autoZero"/>
        <c:crossBetween val="between"/>
      </c:valAx>
      <c:catAx>
        <c:axId val="48320316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3040065"/>
        <c:crosses val="autoZero"/>
        <c:auto val="1"/>
        <c:lblAlgn val="ctr"/>
        <c:lblOffset val="100"/>
        <c:noMultiLvlLbl val="0"/>
      </c:catAx>
      <c:valAx>
        <c:axId val="95304006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3203167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6384151814335"/>
          <c:y val="0.87368128817323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年</a:t>
            </a:r>
            <a:r>
              <a:rPr lang="en-US" altLang="zh-CN"/>
              <a:t>-2021</a:t>
            </a:r>
            <a:r>
              <a:rPr altLang="en-US"/>
              <a:t>年规模以上工业增加值及增速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[2021年公报图标.xlsx]Sheet1!$A$38</c:f>
              <c:strCache>
                <c:ptCount val="1"/>
                <c:pt idx="0">
                  <c:v>规模以上工业增加值（万元）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[2021年公报图标.xlsx]Sheet1!$B$37:$F$37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[2021年公报图标.xlsx]Sheet1!$B$38:$F$38</c:f>
              <c:numCache>
                <c:formatCode>General</c:formatCode>
                <c:ptCount val="5"/>
                <c:pt idx="0">
                  <c:v>22346.08</c:v>
                </c:pt>
                <c:pt idx="1">
                  <c:v>27187.03</c:v>
                </c:pt>
                <c:pt idx="2">
                  <c:v>36103.4</c:v>
                </c:pt>
                <c:pt idx="3">
                  <c:v>63833.47</c:v>
                </c:pt>
                <c:pt idx="4">
                  <c:v>64046.22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1992982"/>
        <c:axId val="466478897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[2021年公报图标.xlsx]Sheet1!$A$39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[2021年公报图标.xlsx]Sheet1!$B$37:$F$37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[2021年公报图标.xlsx]Sheet1!$B$39:$F$39</c:f>
              <c:numCache>
                <c:formatCode>General</c:formatCode>
                <c:ptCount val="5"/>
                <c:pt idx="0">
                  <c:v>-1</c:v>
                </c:pt>
                <c:pt idx="1">
                  <c:v>9.7</c:v>
                </c:pt>
                <c:pt idx="2">
                  <c:v>17.6</c:v>
                </c:pt>
                <c:pt idx="3">
                  <c:v>9.3</c:v>
                </c:pt>
                <c:pt idx="4">
                  <c:v>-1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1146995"/>
        <c:axId val="868450855"/>
      </c:lineChart>
      <c:catAx>
        <c:axId val="63199298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6478897"/>
        <c:crosses val="autoZero"/>
        <c:auto val="1"/>
        <c:lblAlgn val="ctr"/>
        <c:lblOffset val="100"/>
        <c:noMultiLvlLbl val="0"/>
      </c:catAx>
      <c:valAx>
        <c:axId val="4664788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1992982"/>
        <c:crosses val="autoZero"/>
        <c:crossBetween val="between"/>
      </c:valAx>
      <c:catAx>
        <c:axId val="491146995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8450855"/>
        <c:crosses val="autoZero"/>
        <c:auto val="1"/>
        <c:lblAlgn val="ctr"/>
        <c:lblOffset val="100"/>
        <c:noMultiLvlLbl val="0"/>
      </c:catAx>
      <c:valAx>
        <c:axId val="86845085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1146995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年</a:t>
            </a:r>
            <a:r>
              <a:rPr lang="en-US" altLang="zh-CN"/>
              <a:t>-2021</a:t>
            </a:r>
            <a:r>
              <a:rPr altLang="en-US"/>
              <a:t>年</a:t>
            </a:r>
            <a:r>
              <a:t>社会消费品零售总额及增速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[2021年公报图标.xlsx]Sheet1!$A$58</c:f>
              <c:strCache>
                <c:ptCount val="1"/>
                <c:pt idx="0">
                  <c:v>社会消费品零售总额（万元）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[2021年公报图标.xlsx]Sheet1!$B$57:$F$57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[2021年公报图标.xlsx]Sheet1!$B$58:$F$58</c:f>
              <c:numCache>
                <c:formatCode>General</c:formatCode>
                <c:ptCount val="5"/>
                <c:pt idx="0">
                  <c:v>25864.6</c:v>
                </c:pt>
                <c:pt idx="1">
                  <c:v>27777.8</c:v>
                </c:pt>
                <c:pt idx="2">
                  <c:v>38700</c:v>
                </c:pt>
                <c:pt idx="3">
                  <c:v>39645.8</c:v>
                </c:pt>
                <c:pt idx="4">
                  <c:v>46281.74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475992"/>
        <c:axId val="492045351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[2021年公报图标.xlsx]Sheet1!$A$59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[2021年公报图标.xlsx]Sheet1!$B$57:$F$57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[2021年公报图标.xlsx]Sheet1!$B$59:$F$59</c:f>
              <c:numCache>
                <c:formatCode>General</c:formatCode>
                <c:ptCount val="5"/>
                <c:pt idx="0">
                  <c:v>10.7</c:v>
                </c:pt>
                <c:pt idx="1">
                  <c:v>7.4</c:v>
                </c:pt>
                <c:pt idx="2">
                  <c:v>8.4</c:v>
                </c:pt>
                <c:pt idx="3">
                  <c:v>2.4</c:v>
                </c:pt>
                <c:pt idx="4">
                  <c:v>16.74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86881984"/>
        <c:axId val="466161380"/>
      </c:lineChart>
      <c:catAx>
        <c:axId val="165475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2045351"/>
        <c:crosses val="autoZero"/>
        <c:auto val="1"/>
        <c:lblAlgn val="ctr"/>
        <c:lblOffset val="100"/>
        <c:noMultiLvlLbl val="0"/>
      </c:catAx>
      <c:valAx>
        <c:axId val="492045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5475992"/>
        <c:crosses val="autoZero"/>
        <c:crossBetween val="between"/>
      </c:valAx>
      <c:catAx>
        <c:axId val="38688198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6161380"/>
        <c:crosses val="autoZero"/>
        <c:auto val="1"/>
        <c:lblAlgn val="ctr"/>
        <c:lblOffset val="100"/>
        <c:noMultiLvlLbl val="0"/>
      </c:catAx>
      <c:valAx>
        <c:axId val="4661613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6881984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年</a:t>
            </a:r>
            <a:r>
              <a:rPr lang="en-US" altLang="zh-CN"/>
              <a:t>-2021</a:t>
            </a:r>
            <a:r>
              <a:rPr altLang="en-US"/>
              <a:t>年</a:t>
            </a:r>
            <a:r>
              <a:t>全社会固定资产投资及增速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[2021年公报图标.xlsx]Sheet1!$A$49</c:f>
              <c:strCache>
                <c:ptCount val="1"/>
                <c:pt idx="0">
                  <c:v>全社会固定资产投资（万元）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[2021年公报图标.xlsx]Sheet1!$B$48:$F$48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[2021年公报图标.xlsx]Sheet1!$B$49:$F$49</c:f>
              <c:numCache>
                <c:formatCode>General</c:formatCode>
                <c:ptCount val="5"/>
                <c:pt idx="0">
                  <c:v>541913</c:v>
                </c:pt>
                <c:pt idx="1">
                  <c:v>315217</c:v>
                </c:pt>
                <c:pt idx="2">
                  <c:v>391151</c:v>
                </c:pt>
                <c:pt idx="3">
                  <c:v>599122</c:v>
                </c:pt>
                <c:pt idx="4">
                  <c:v>725001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440351"/>
        <c:axId val="287449592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[2021年公报图标.xlsx]Sheet1!$A$50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[2021年公报图标.xlsx]Sheet1!$B$48:$F$48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[2021年公报图标.xlsx]Sheet1!$B$50:$F$50</c:f>
              <c:numCache>
                <c:formatCode>General</c:formatCode>
                <c:ptCount val="5"/>
                <c:pt idx="0">
                  <c:v>41.65</c:v>
                </c:pt>
                <c:pt idx="1">
                  <c:v>-41.83</c:v>
                </c:pt>
                <c:pt idx="2">
                  <c:v>24.1</c:v>
                </c:pt>
                <c:pt idx="3">
                  <c:v>53.2</c:v>
                </c:pt>
                <c:pt idx="4">
                  <c:v>21.01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31825281"/>
        <c:axId val="43177618"/>
      </c:lineChart>
      <c:catAx>
        <c:axId val="6744035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449592"/>
        <c:crosses val="autoZero"/>
        <c:auto val="1"/>
        <c:lblAlgn val="ctr"/>
        <c:lblOffset val="100"/>
        <c:noMultiLvlLbl val="0"/>
      </c:catAx>
      <c:valAx>
        <c:axId val="287449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440351"/>
        <c:crosses val="autoZero"/>
        <c:crossBetween val="between"/>
      </c:valAx>
      <c:catAx>
        <c:axId val="13182528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177618"/>
        <c:crosses val="autoZero"/>
        <c:auto val="1"/>
        <c:lblAlgn val="ctr"/>
        <c:lblOffset val="100"/>
        <c:noMultiLvlLbl val="0"/>
      </c:catAx>
      <c:valAx>
        <c:axId val="4317761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825281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招 商 引 资工作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[2021年公报图标.xlsx]Sheet1!$A$67</c:f>
              <c:strCache>
                <c:ptCount val="1"/>
                <c:pt idx="0">
                  <c:v>招 商 引 资（万元）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[2021年公报图标.xlsx]Sheet1!$B$66:$F$66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[2021年公报图标.xlsx]Sheet1!$B$67:$F$67</c:f>
              <c:numCache>
                <c:formatCode>General</c:formatCode>
                <c:ptCount val="5"/>
                <c:pt idx="0">
                  <c:v>12.25</c:v>
                </c:pt>
                <c:pt idx="1">
                  <c:v>13.19</c:v>
                </c:pt>
                <c:pt idx="2">
                  <c:v>28.46</c:v>
                </c:pt>
                <c:pt idx="3">
                  <c:v>38.57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5217802"/>
        <c:axId val="610069947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[2021年公报图标.xlsx]Sheet1!$A$68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[2021年公报图标.xlsx]Sheet1!$B$66:$F$66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[2021年公报图标.xlsx]Sheet1!$B$68:$F$68</c:f>
              <c:numCache>
                <c:formatCode>General</c:formatCode>
                <c:ptCount val="5"/>
                <c:pt idx="0">
                  <c:v>12.25</c:v>
                </c:pt>
                <c:pt idx="1">
                  <c:v>13.19</c:v>
                </c:pt>
                <c:pt idx="2">
                  <c:v>115.8</c:v>
                </c:pt>
                <c:pt idx="3">
                  <c:v>35.5</c:v>
                </c:pt>
                <c:pt idx="4">
                  <c:v>14.1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234576007"/>
        <c:axId val="99229598"/>
      </c:lineChart>
      <c:catAx>
        <c:axId val="8552178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0069947"/>
        <c:crosses val="autoZero"/>
        <c:auto val="1"/>
        <c:lblAlgn val="ctr"/>
        <c:lblOffset val="100"/>
        <c:noMultiLvlLbl val="0"/>
      </c:catAx>
      <c:valAx>
        <c:axId val="6100699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5217802"/>
        <c:crosses val="autoZero"/>
        <c:crossBetween val="between"/>
      </c:valAx>
      <c:catAx>
        <c:axId val="23457600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229598"/>
        <c:crosses val="autoZero"/>
        <c:auto val="1"/>
        <c:lblAlgn val="ctr"/>
        <c:lblOffset val="100"/>
        <c:noMultiLvlLbl val="0"/>
      </c:catAx>
      <c:valAx>
        <c:axId val="9922959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457600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地方财政预算收入</a:t>
            </a:r>
          </a:p>
        </c:rich>
      </c:tx>
      <c:layout>
        <c:manualLayout>
          <c:xMode val="edge"/>
          <c:yMode val="edge"/>
          <c:x val="0.416388425153033"/>
          <c:y val="0.027809965237543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[2021年公报图标.xlsx]Sheet1!$A$74</c:f>
              <c:strCache>
                <c:ptCount val="1"/>
                <c:pt idx="0">
                  <c:v>地方财政预算收入（万元）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[2021年公报图标.xlsx]Sheet1!$B$73:$F$73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[2021年公报图标.xlsx]Sheet1!$B$74:$F$74</c:f>
              <c:numCache>
                <c:formatCode>General</c:formatCode>
                <c:ptCount val="5"/>
                <c:pt idx="0">
                  <c:v>21525</c:v>
                </c:pt>
                <c:pt idx="1">
                  <c:v>29967</c:v>
                </c:pt>
                <c:pt idx="2">
                  <c:v>32335</c:v>
                </c:pt>
                <c:pt idx="3">
                  <c:v>26051</c:v>
                </c:pt>
                <c:pt idx="4">
                  <c:v>31912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503963"/>
        <c:axId val="580267597"/>
      </c:barChart>
      <c:lineChart>
        <c:grouping val="standard"/>
        <c:varyColors val="0"/>
        <c:ser>
          <c:idx val="1"/>
          <c:order val="1"/>
          <c:tx>
            <c:strRef>
              <c:f>[2021年公报图标.xlsx]Sheet1!$A$75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[2021年公报图标.xlsx]Sheet1!$B$73:$F$73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[2021年公报图标.xlsx]Sheet1!$B$75:$F$75</c:f>
              <c:numCache>
                <c:formatCode>General</c:formatCode>
                <c:ptCount val="5"/>
                <c:pt idx="0">
                  <c:v>17.6</c:v>
                </c:pt>
                <c:pt idx="1">
                  <c:v>39.2</c:v>
                </c:pt>
                <c:pt idx="2">
                  <c:v>7.9</c:v>
                </c:pt>
                <c:pt idx="3">
                  <c:v>-19.4</c:v>
                </c:pt>
                <c:pt idx="4">
                  <c:v>22.5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8890972"/>
        <c:axId val="460338540"/>
      </c:lineChart>
      <c:catAx>
        <c:axId val="3065039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0267597"/>
        <c:crosses val="autoZero"/>
        <c:auto val="1"/>
        <c:lblAlgn val="ctr"/>
        <c:lblOffset val="100"/>
        <c:noMultiLvlLbl val="0"/>
      </c:catAx>
      <c:valAx>
        <c:axId val="5802675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503963"/>
        <c:crosses val="autoZero"/>
        <c:crossBetween val="between"/>
      </c:valAx>
      <c:catAx>
        <c:axId val="1889097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338540"/>
        <c:crosses val="autoZero"/>
        <c:auto val="1"/>
        <c:lblAlgn val="ctr"/>
        <c:lblOffset val="100"/>
        <c:noMultiLvlLbl val="0"/>
      </c:catAx>
      <c:valAx>
        <c:axId val="4603385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89097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2020-09-07T10:20:00Z</dcterms:created>
  <dc:creator>Administrator</dc:creator>
  <cp:lastModifiedBy>Administrator</cp:lastModifiedBy>
  <cp:lastPrinted>2022-04-11T04:44:00Z</cp:lastPrinted>
  <dcterms:modified xsi:type="dcterms:W3CDTF">2024-04-01T08:25:50Z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