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中共和田县委员会社会工作部2024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22F0D09C">
      <w:r>
        <w:br w:type="page"/>
      </w:r>
    </w:p>
    <w:p w14:paraId="1F1CF265">
      <w:pPr>
        <w:spacing w:line="640" w:lineRule="exact"/>
        <w:jc w:val="center"/>
        <w:outlineLvl w:val="1"/>
      </w:pPr>
      <w:r>
        <w:rPr>
          <w:rFonts w:ascii="黑体" w:hAnsi="黑体" w:eastAsia="黑体"/>
          <w:sz w:val="32"/>
        </w:rPr>
        <w:t>第一部分 单位概况</w:t>
      </w:r>
    </w:p>
    <w:p w14:paraId="3355661F">
      <w:pPr>
        <w:spacing w:line="640" w:lineRule="exact"/>
        <w:ind w:firstLine="640"/>
        <w:jc w:val="both"/>
        <w:outlineLvl w:val="2"/>
      </w:pPr>
      <w:r>
        <w:rPr>
          <w:rFonts w:ascii="黑体" w:hAnsi="黑体" w:eastAsia="黑体"/>
          <w:sz w:val="32"/>
        </w:rPr>
        <w:t>一、主要职能</w:t>
      </w:r>
    </w:p>
    <w:p w14:paraId="5BFD5682">
      <w:pPr>
        <w:spacing w:line="580" w:lineRule="exact"/>
        <w:ind w:firstLine="640"/>
        <w:jc w:val="both"/>
      </w:pPr>
      <w:r>
        <w:rPr>
          <w:rFonts w:ascii="仿宋_GB2312" w:hAnsi="仿宋_GB2312" w:eastAsia="仿宋_GB2312"/>
          <w:sz w:val="32"/>
        </w:rPr>
        <w:t>（一）研究相关理论、政策和规划，拟订相关规范性文件并组织实施。深入调查研究，及时向县委报告工作情况并提出建议。</w:t>
      </w:r>
    </w:p>
    <w:p w14:paraId="38AE1B2F">
      <w:pPr>
        <w:spacing w:line="580" w:lineRule="exact"/>
        <w:ind w:firstLine="640"/>
        <w:jc w:val="both"/>
      </w:pPr>
      <w:r>
        <w:rPr>
          <w:rFonts w:ascii="仿宋_GB2312" w:hAnsi="仿宋_GB2312" w:eastAsia="仿宋_GB2312"/>
          <w:sz w:val="32"/>
        </w:rPr>
        <w:t>（二）统筹指导群众利益协调、诉求表达、矛盾调处、权益保障等人民信访工作，协调解决人民群众急难愁盼的重大问题。指导人民建议征集工作，负责征集、办理公民、法人和其他组织提出的意见建议，向和田县委、县人民政府及时反映公民、法人和其他组织对党和国家、自治区和地区和和田县各项事业发展提出的重要意见建议。</w:t>
      </w:r>
    </w:p>
    <w:p w14:paraId="63254318">
      <w:pPr>
        <w:spacing w:line="580" w:lineRule="exact"/>
        <w:ind w:firstLine="640"/>
        <w:jc w:val="both"/>
      </w:pPr>
      <w:r>
        <w:rPr>
          <w:rFonts w:ascii="仿宋_GB2312" w:hAnsi="仿宋_GB2312" w:eastAsia="仿宋_GB2312"/>
          <w:sz w:val="32"/>
        </w:rPr>
        <w:t>（三）统筹推进党建引领基层治理和基层政权建设，协调推进城乡社区治理体系和治理能力建设，推进基层民主政治建设，指导监督基层群众自治制度有效实施，健全基层群众自治机制。</w:t>
      </w:r>
    </w:p>
    <w:p w14:paraId="187CC22F">
      <w:pPr>
        <w:spacing w:line="580" w:lineRule="exact"/>
        <w:ind w:firstLine="640"/>
        <w:jc w:val="both"/>
      </w:pPr>
      <w:r>
        <w:rPr>
          <w:rFonts w:ascii="仿宋_GB2312" w:hAnsi="仿宋_GB2312" w:eastAsia="仿宋_GB2312"/>
          <w:sz w:val="32"/>
        </w:rPr>
        <w:t>（四）指导和田县社会组织党建工作，统一领导和田县行业协会商会党的工作，协调推动行业协会商会深化改革和转型发展。</w:t>
      </w:r>
    </w:p>
    <w:p w14:paraId="76EC9A31">
      <w:pPr>
        <w:spacing w:line="580" w:lineRule="exact"/>
        <w:ind w:firstLine="640"/>
        <w:jc w:val="both"/>
      </w:pPr>
      <w:r>
        <w:rPr>
          <w:rFonts w:ascii="仿宋_GB2312" w:hAnsi="仿宋_GB2312" w:eastAsia="仿宋_GB2312"/>
          <w:sz w:val="32"/>
        </w:rPr>
        <w:t>（五）指导和田县混合所有制企业、非公有制企业和新经济组织、新社会组织、新就业群体党建工作，指导协调相关企业单位、社会组织、新就业群体中党员的教育、管理、监督和服务工作，研究完善相关领域群众利益协调机制。</w:t>
      </w:r>
    </w:p>
    <w:p w14:paraId="70526B97">
      <w:pPr>
        <w:spacing w:line="580" w:lineRule="exact"/>
        <w:ind w:firstLine="640"/>
        <w:jc w:val="both"/>
      </w:pPr>
      <w:r>
        <w:rPr>
          <w:rFonts w:ascii="仿宋_GB2312" w:hAnsi="仿宋_GB2312" w:eastAsia="仿宋_GB2312"/>
          <w:sz w:val="32"/>
        </w:rPr>
        <w:t>（六）负责和田县志愿服务工作的统筹规划、协调指导、督促检查。指导社会工作人才队伍建设。</w:t>
      </w:r>
    </w:p>
    <w:p w14:paraId="6E25564F">
      <w:pPr>
        <w:spacing w:line="580" w:lineRule="exact"/>
        <w:ind w:firstLine="640"/>
        <w:jc w:val="both"/>
      </w:pPr>
      <w:r>
        <w:rPr>
          <w:rFonts w:ascii="仿宋_GB2312" w:hAnsi="仿宋_GB2312" w:eastAsia="仿宋_GB2312"/>
          <w:sz w:val="32"/>
        </w:rPr>
        <w:t>（七）完成和田县委交办的其他任务。</w:t>
      </w:r>
    </w:p>
    <w:p w14:paraId="2F0422C3">
      <w:pPr>
        <w:spacing w:line="580" w:lineRule="exact"/>
        <w:ind w:firstLine="640"/>
        <w:jc w:val="both"/>
      </w:pPr>
      <w:r>
        <w:rPr>
          <w:rFonts w:ascii="仿宋_GB2312" w:hAnsi="仿宋_GB2312" w:eastAsia="仿宋_GB2312"/>
          <w:sz w:val="32"/>
        </w:rPr>
        <w:t>与其他部门的职责分工。</w:t>
      </w:r>
    </w:p>
    <w:p w14:paraId="7B8313D2">
      <w:pPr>
        <w:spacing w:line="580" w:lineRule="exact"/>
        <w:ind w:firstLine="640"/>
        <w:jc w:val="both"/>
      </w:pPr>
      <w:r>
        <w:rPr>
          <w:rFonts w:ascii="仿宋_GB2312" w:hAnsi="仿宋_GB2312" w:eastAsia="仿宋_GB2312"/>
          <w:sz w:val="32"/>
        </w:rPr>
        <w:t>（一）和田县委组织部“两新”工委职责划入和田县委社会工作部后，基层党建工作由和田县委组织部牵头抓总，“两企三新”党建工作由和田县委社会工作部归口指导、推动落实，构建地方党委统一领导、组织部门统筹协调、社会工作部门指导推动、行业部门各负其责、相关单位协同配合、乡镇村（社区）属地管理的工作格局。</w:t>
      </w:r>
    </w:p>
    <w:p w14:paraId="249683F2">
      <w:pPr>
        <w:spacing w:line="580" w:lineRule="exact"/>
        <w:ind w:firstLine="640"/>
        <w:jc w:val="both"/>
      </w:pPr>
      <w:r>
        <w:rPr>
          <w:rFonts w:ascii="仿宋_GB2312" w:hAnsi="仿宋_GB2312" w:eastAsia="仿宋_GB2312"/>
          <w:sz w:val="32"/>
        </w:rPr>
        <w:t>（二）和田县民政局有关基层治理、基层政权建设等职责划入和田县委社会工作部后，涉及村民委员会、居民委员会工作中需以和田县人民政府名义出面的，和田县民政局仍要协助做好工作。</w:t>
      </w:r>
    </w:p>
    <w:p w14:paraId="6A76C26B">
      <w:pPr>
        <w:spacing w:line="580" w:lineRule="exact"/>
        <w:ind w:firstLine="640"/>
        <w:jc w:val="both"/>
      </w:pPr>
      <w:r>
        <w:rPr>
          <w:rFonts w:ascii="仿宋_GB2312" w:hAnsi="仿宋_GB2312" w:eastAsia="仿宋_GB2312"/>
          <w:sz w:val="32"/>
        </w:rPr>
        <w:t>（三）和田县委宣传部、政法委和县农业农村局等部门，要与县委社会工作部密切配合，形成基层治理合力。</w:t>
      </w:r>
    </w:p>
    <w:p w14:paraId="572F8E7C">
      <w:pPr>
        <w:spacing w:line="640" w:lineRule="exact"/>
        <w:ind w:firstLine="640"/>
        <w:jc w:val="both"/>
        <w:outlineLvl w:val="2"/>
      </w:pPr>
      <w:r>
        <w:rPr>
          <w:rFonts w:ascii="黑体" w:hAnsi="黑体" w:eastAsia="黑体"/>
          <w:sz w:val="32"/>
        </w:rPr>
        <w:t>二、机构设置及人员情况</w:t>
      </w:r>
    </w:p>
    <w:p w14:paraId="566E1FE5">
      <w:pPr>
        <w:spacing w:line="580" w:lineRule="exact"/>
        <w:ind w:firstLine="640"/>
        <w:jc w:val="both"/>
      </w:pPr>
      <w:r>
        <w:rPr>
          <w:rFonts w:ascii="仿宋_GB2312" w:hAnsi="仿宋_GB2312" w:eastAsia="仿宋_GB2312"/>
          <w:sz w:val="32"/>
        </w:rPr>
        <w:t>中共和田县委员会社会工作部2024年度，实有人数13人，其中：在职人员13人，增加13人；离休人员0人，增加0人；退休人员0人,增加0人。</w:t>
      </w:r>
    </w:p>
    <w:p w14:paraId="3D366F17">
      <w:pPr>
        <w:spacing w:line="580" w:lineRule="exact"/>
        <w:ind w:firstLine="640"/>
        <w:jc w:val="both"/>
      </w:pPr>
      <w:r>
        <w:rPr>
          <w:rFonts w:ascii="仿宋_GB2312" w:hAnsi="仿宋_GB2312" w:eastAsia="仿宋_GB2312"/>
          <w:sz w:val="32"/>
        </w:rPr>
        <w:t>中共和田县委员会社会工作部无下属预算单位，下设4个科室，分别是：非公有制经济组织和社会组织室、基层组织建设与基层政权建设室、群众工作服务中心室、志愿服务室。</w:t>
      </w:r>
    </w:p>
    <w:p w14:paraId="47CA2CE5">
      <w:r>
        <w:br w:type="page"/>
      </w:r>
    </w:p>
    <w:p w14:paraId="00E58E68">
      <w:pPr>
        <w:spacing w:line="240" w:lineRule="auto"/>
        <w:jc w:val="center"/>
        <w:outlineLvl w:val="1"/>
      </w:pPr>
      <w:r>
        <w:rPr>
          <w:rFonts w:ascii="黑体" w:hAnsi="黑体" w:eastAsia="黑体"/>
          <w:sz w:val="32"/>
        </w:rPr>
        <w:t>第二部分 部门决算情况说明</w:t>
      </w:r>
    </w:p>
    <w:p w14:paraId="7DD1CC14">
      <w:pPr>
        <w:spacing w:line="640" w:lineRule="exact"/>
        <w:ind w:firstLine="640"/>
        <w:jc w:val="both"/>
        <w:outlineLvl w:val="2"/>
      </w:pPr>
      <w:r>
        <w:rPr>
          <w:rFonts w:ascii="黑体" w:hAnsi="黑体" w:eastAsia="黑体"/>
          <w:sz w:val="32"/>
        </w:rPr>
        <w:t>一、收入支出决算总体情况说明</w:t>
      </w:r>
    </w:p>
    <w:p w14:paraId="7BC6017B">
      <w:pPr>
        <w:spacing w:line="580" w:lineRule="exact"/>
        <w:ind w:firstLine="640"/>
        <w:jc w:val="both"/>
      </w:pPr>
      <w:r>
        <w:rPr>
          <w:rFonts w:ascii="仿宋_GB2312" w:hAnsi="仿宋_GB2312" w:eastAsia="仿宋_GB2312"/>
          <w:b/>
          <w:sz w:val="32"/>
        </w:rPr>
        <w:t>2024年度收入总计59.71万元，</w:t>
      </w:r>
      <w:r>
        <w:rPr>
          <w:rFonts w:ascii="仿宋_GB2312" w:hAnsi="仿宋_GB2312" w:eastAsia="仿宋_GB2312"/>
          <w:b w:val="0"/>
          <w:sz w:val="32"/>
        </w:rPr>
        <w:t>其中：本年收入合计59.71万元，使用非财政拨款结余（含专用结余）0.00万元，年初结转和结余0.00万元。</w:t>
      </w:r>
    </w:p>
    <w:p w14:paraId="74F1E55E">
      <w:pPr>
        <w:spacing w:line="580" w:lineRule="exact"/>
        <w:ind w:firstLine="640"/>
        <w:jc w:val="both"/>
      </w:pPr>
      <w:r>
        <w:rPr>
          <w:rFonts w:ascii="仿宋_GB2312" w:hAnsi="仿宋_GB2312" w:eastAsia="仿宋_GB2312"/>
          <w:b/>
          <w:sz w:val="32"/>
        </w:rPr>
        <w:t>2024年度支出总计59.71万元，</w:t>
      </w:r>
      <w:r>
        <w:rPr>
          <w:rFonts w:ascii="仿宋_GB2312" w:hAnsi="仿宋_GB2312" w:eastAsia="仿宋_GB2312"/>
          <w:b w:val="0"/>
          <w:sz w:val="32"/>
        </w:rPr>
        <w:t>其中：本年支出合计59.71万元，结余分配0.00万元，年末结转和结余0.00万元。</w:t>
      </w:r>
    </w:p>
    <w:p w14:paraId="78418FA4">
      <w:pPr>
        <w:spacing w:line="580" w:lineRule="exact"/>
        <w:ind w:firstLine="640"/>
        <w:jc w:val="both"/>
      </w:pPr>
      <w:r>
        <w:rPr>
          <w:rFonts w:ascii="仿宋_GB2312" w:hAnsi="仿宋_GB2312" w:eastAsia="仿宋_GB2312"/>
          <w:b w:val="0"/>
          <w:sz w:val="32"/>
        </w:rPr>
        <w:t>收入支出总体与上年相比，增加59.71万元，增长100.00%，主要原因是：本年度为新成立单位，无上年对比数据。</w:t>
      </w:r>
    </w:p>
    <w:p w14:paraId="3A115542">
      <w:pPr>
        <w:spacing w:line="640" w:lineRule="exact"/>
        <w:ind w:firstLine="640"/>
        <w:jc w:val="both"/>
        <w:outlineLvl w:val="2"/>
      </w:pPr>
      <w:r>
        <w:rPr>
          <w:rFonts w:ascii="黑体" w:hAnsi="黑体" w:eastAsia="黑体"/>
          <w:sz w:val="32"/>
        </w:rPr>
        <w:t>二、收入决算情况说明</w:t>
      </w:r>
    </w:p>
    <w:p w14:paraId="03BE7D13">
      <w:pPr>
        <w:spacing w:line="580" w:lineRule="exact"/>
        <w:ind w:firstLine="640"/>
        <w:jc w:val="both"/>
      </w:pPr>
      <w:r>
        <w:rPr>
          <w:rFonts w:ascii="仿宋_GB2312" w:hAnsi="仿宋_GB2312" w:eastAsia="仿宋_GB2312"/>
          <w:b/>
          <w:sz w:val="32"/>
        </w:rPr>
        <w:t>本年收入59.71万元，</w:t>
      </w:r>
      <w:r>
        <w:rPr>
          <w:rFonts w:ascii="仿宋_GB2312" w:hAnsi="仿宋_GB2312" w:eastAsia="仿宋_GB2312"/>
          <w:b w:val="0"/>
          <w:sz w:val="32"/>
        </w:rPr>
        <w:t>其中：财政拨款收入59.71万元，占100.00%；上级补助收入0.00万元，占0.00%；事业收入0.00万元，占0.00%；经营收入0.00万元，占0.00%；附属单位上缴收入0.00万元，占0.00%；其他收入0.00万元，占0.00%。</w:t>
      </w:r>
    </w:p>
    <w:p w14:paraId="00097C39">
      <w:pPr>
        <w:spacing w:line="640" w:lineRule="exact"/>
        <w:ind w:firstLine="640"/>
        <w:jc w:val="both"/>
        <w:outlineLvl w:val="2"/>
      </w:pPr>
      <w:r>
        <w:rPr>
          <w:rFonts w:ascii="黑体" w:hAnsi="黑体" w:eastAsia="黑体"/>
          <w:sz w:val="32"/>
        </w:rPr>
        <w:t>三、支出决算情况说明</w:t>
      </w:r>
    </w:p>
    <w:p w14:paraId="50EFFA3D">
      <w:pPr>
        <w:spacing w:line="580" w:lineRule="exact"/>
        <w:ind w:firstLine="640"/>
        <w:jc w:val="both"/>
      </w:pPr>
      <w:r>
        <w:rPr>
          <w:rFonts w:ascii="仿宋_GB2312" w:hAnsi="仿宋_GB2312" w:eastAsia="仿宋_GB2312"/>
          <w:b/>
          <w:sz w:val="32"/>
        </w:rPr>
        <w:t>本年支出59.71万元，</w:t>
      </w:r>
      <w:r>
        <w:rPr>
          <w:rFonts w:ascii="仿宋_GB2312" w:hAnsi="仿宋_GB2312" w:eastAsia="仿宋_GB2312"/>
          <w:b w:val="0"/>
          <w:sz w:val="32"/>
        </w:rPr>
        <w:t>其中：基本支出59.71万元，占100.00%；项目支出0.00万元，占0.00%；上缴上级支出0.00万元，占0.00%；经营支出0.00万元，占0.00%；对附属单位补助支出0.00万元，占0.00%。</w:t>
      </w:r>
    </w:p>
    <w:p w14:paraId="2F40003F">
      <w:pPr>
        <w:spacing w:line="640" w:lineRule="exact"/>
        <w:ind w:firstLine="640"/>
        <w:jc w:val="both"/>
        <w:outlineLvl w:val="2"/>
      </w:pPr>
      <w:r>
        <w:rPr>
          <w:rFonts w:ascii="黑体" w:hAnsi="黑体" w:eastAsia="黑体"/>
          <w:sz w:val="32"/>
        </w:rPr>
        <w:t>四、财政拨款收入支出决算总体情况说明</w:t>
      </w:r>
    </w:p>
    <w:p w14:paraId="20174352">
      <w:pPr>
        <w:spacing w:line="580" w:lineRule="exact"/>
        <w:ind w:firstLine="640"/>
        <w:jc w:val="both"/>
      </w:pPr>
      <w:r>
        <w:rPr>
          <w:rFonts w:ascii="仿宋_GB2312" w:hAnsi="仿宋_GB2312" w:eastAsia="仿宋_GB2312"/>
          <w:b/>
          <w:sz w:val="32"/>
        </w:rPr>
        <w:t>2024年度财政拨款收入总计59.71万元，</w:t>
      </w:r>
      <w:r>
        <w:rPr>
          <w:rFonts w:ascii="仿宋_GB2312" w:hAnsi="仿宋_GB2312" w:eastAsia="仿宋_GB2312"/>
          <w:b w:val="0"/>
          <w:sz w:val="32"/>
        </w:rPr>
        <w:t>其中：年初财政拨款结转和结余0.00万元，本年财政拨款收入59.71万元。</w:t>
      </w:r>
      <w:r>
        <w:rPr>
          <w:rFonts w:ascii="仿宋_GB2312" w:hAnsi="仿宋_GB2312" w:eastAsia="仿宋_GB2312"/>
          <w:b/>
          <w:sz w:val="32"/>
        </w:rPr>
        <w:t>财政拨款支出总计59.71万元，</w:t>
      </w:r>
      <w:r>
        <w:rPr>
          <w:rFonts w:ascii="仿宋_GB2312" w:hAnsi="仿宋_GB2312" w:eastAsia="仿宋_GB2312"/>
          <w:b w:val="0"/>
          <w:sz w:val="32"/>
        </w:rPr>
        <w:t>其中：年末财政拨款结转和结余0.00万元，本年财政拨款支出59.71万元。</w:t>
      </w:r>
    </w:p>
    <w:p w14:paraId="40A1D9FA">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增加59.71万元，增长100.00%，主要原因是：本年度为新成立单位，无上年对比数据。</w:t>
      </w:r>
      <w:r>
        <w:rPr>
          <w:rFonts w:ascii="仿宋_GB2312" w:hAnsi="仿宋_GB2312" w:eastAsia="仿宋_GB2312"/>
          <w:b/>
          <w:sz w:val="32"/>
        </w:rPr>
        <w:t>与年初预算相比，</w:t>
      </w:r>
      <w:r>
        <w:rPr>
          <w:rFonts w:ascii="仿宋_GB2312" w:hAnsi="仿宋_GB2312" w:eastAsia="仿宋_GB2312"/>
          <w:b w:val="0"/>
          <w:sz w:val="32"/>
        </w:rPr>
        <w:t>年初预算数0.00万元，决算数59.71万元，预决算差异率100.00%，主要原因是：本年度为新成立单位，年初未安排预算，年中追加人员工资、社保、公积金基数调增部分资金，导致预决算存在差异。</w:t>
      </w:r>
    </w:p>
    <w:p w14:paraId="26AF8695">
      <w:pPr>
        <w:spacing w:line="640" w:lineRule="exact"/>
        <w:ind w:firstLine="640"/>
        <w:jc w:val="both"/>
        <w:outlineLvl w:val="2"/>
      </w:pPr>
      <w:r>
        <w:rPr>
          <w:rFonts w:ascii="黑体" w:hAnsi="黑体" w:eastAsia="黑体"/>
          <w:sz w:val="32"/>
        </w:rPr>
        <w:t>五、一般公共预算财政拨款支出决算情况说明</w:t>
      </w:r>
    </w:p>
    <w:p w14:paraId="026C7075">
      <w:pPr>
        <w:spacing w:line="640" w:lineRule="exact"/>
        <w:ind w:firstLine="640"/>
        <w:jc w:val="both"/>
        <w:outlineLvl w:val="3"/>
      </w:pPr>
      <w:r>
        <w:rPr>
          <w:rFonts w:ascii="楷体_GB2312" w:hAnsi="楷体_GB2312" w:eastAsia="楷体_GB2312"/>
          <w:b/>
          <w:sz w:val="32"/>
        </w:rPr>
        <w:t>（一）一般公共预算财政拨款支出决算总体情况</w:t>
      </w:r>
    </w:p>
    <w:p w14:paraId="0F3619E6">
      <w:pPr>
        <w:spacing w:line="580" w:lineRule="exact"/>
        <w:ind w:firstLine="640"/>
        <w:jc w:val="both"/>
      </w:pPr>
      <w:r>
        <w:rPr>
          <w:rFonts w:ascii="仿宋_GB2312" w:hAnsi="仿宋_GB2312" w:eastAsia="仿宋_GB2312"/>
          <w:b/>
          <w:sz w:val="32"/>
        </w:rPr>
        <w:t>2024年度一般公共预算财政拨款支出59.71万元，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增加59.71万元，增长100.00%，主要原因是：本年度为新成立单位，无上年对比数据。</w:t>
      </w:r>
      <w:r>
        <w:rPr>
          <w:rFonts w:ascii="仿宋_GB2312" w:hAnsi="仿宋_GB2312" w:eastAsia="仿宋_GB2312"/>
          <w:b/>
          <w:sz w:val="32"/>
        </w:rPr>
        <w:t>与年初预算相比,</w:t>
      </w:r>
      <w:r>
        <w:rPr>
          <w:rFonts w:ascii="仿宋_GB2312" w:hAnsi="仿宋_GB2312" w:eastAsia="仿宋_GB2312"/>
          <w:b w:val="0"/>
          <w:sz w:val="32"/>
        </w:rPr>
        <w:t>年初预算数0.00万元，决算数59.71万元，预决算差异率100.00%，主要原因是：本年度为新成立单位，年初未安排预算，年中追加人员工资、社保、公积金基数调增部分资金，导致预决算存在差异。</w:t>
      </w:r>
    </w:p>
    <w:p w14:paraId="62B89328">
      <w:pPr>
        <w:spacing w:line="640" w:lineRule="exact"/>
        <w:ind w:firstLine="640"/>
        <w:jc w:val="both"/>
        <w:outlineLvl w:val="3"/>
      </w:pPr>
      <w:r>
        <w:rPr>
          <w:rFonts w:ascii="楷体_GB2312" w:hAnsi="楷体_GB2312" w:eastAsia="楷体_GB2312"/>
          <w:b/>
          <w:sz w:val="32"/>
        </w:rPr>
        <w:t>（二）一般公共预算财政拨款支出决算结构情况</w:t>
      </w:r>
    </w:p>
    <w:p w14:paraId="735E4B28">
      <w:pPr>
        <w:spacing w:line="580" w:lineRule="exact"/>
        <w:ind w:firstLine="640"/>
        <w:jc w:val="both"/>
      </w:pPr>
      <w:r>
        <w:rPr>
          <w:rFonts w:ascii="仿宋_GB2312" w:hAnsi="仿宋_GB2312" w:eastAsia="仿宋_GB2312"/>
          <w:b w:val="0"/>
          <w:sz w:val="32"/>
        </w:rPr>
        <w:t>1.一般公共服务支出(类)49.50万元,占82.90%。</w:t>
      </w:r>
    </w:p>
    <w:p w14:paraId="6FE230DA">
      <w:pPr>
        <w:spacing w:line="580" w:lineRule="exact"/>
        <w:ind w:firstLine="640"/>
        <w:jc w:val="both"/>
      </w:pPr>
      <w:r>
        <w:rPr>
          <w:rFonts w:ascii="仿宋_GB2312" w:hAnsi="仿宋_GB2312" w:eastAsia="仿宋_GB2312"/>
          <w:b w:val="0"/>
          <w:sz w:val="32"/>
        </w:rPr>
        <w:t>2.社会保障和就业支出(类)5.80万元,占9.71%。</w:t>
      </w:r>
    </w:p>
    <w:p w14:paraId="27DC9E4E">
      <w:pPr>
        <w:spacing w:line="580" w:lineRule="exact"/>
        <w:ind w:firstLine="640"/>
        <w:jc w:val="both"/>
      </w:pPr>
      <w:r>
        <w:rPr>
          <w:rFonts w:ascii="仿宋_GB2312" w:hAnsi="仿宋_GB2312" w:eastAsia="仿宋_GB2312"/>
          <w:b w:val="0"/>
          <w:sz w:val="32"/>
        </w:rPr>
        <w:t>3.住房保障支出(类)4.40万元,占7.37%。</w:t>
      </w:r>
    </w:p>
    <w:p w14:paraId="18D69A8A">
      <w:pPr>
        <w:spacing w:line="640" w:lineRule="exact"/>
        <w:ind w:firstLine="640"/>
        <w:jc w:val="both"/>
        <w:outlineLvl w:val="3"/>
      </w:pPr>
      <w:r>
        <w:rPr>
          <w:rFonts w:ascii="楷体_GB2312" w:hAnsi="楷体_GB2312" w:eastAsia="楷体_GB2312"/>
          <w:b/>
          <w:sz w:val="32"/>
        </w:rPr>
        <w:t>（三）一般公共预算财政拨款支出决算具体情况</w:t>
      </w:r>
    </w:p>
    <w:p w14:paraId="1231BBD2">
      <w:pPr>
        <w:spacing w:line="580" w:lineRule="exact"/>
        <w:ind w:firstLine="640"/>
        <w:jc w:val="both"/>
      </w:pPr>
      <w:r>
        <w:rPr>
          <w:rFonts w:ascii="仿宋_GB2312" w:hAnsi="仿宋_GB2312" w:eastAsia="仿宋_GB2312"/>
          <w:b w:val="0"/>
          <w:sz w:val="32"/>
        </w:rPr>
        <w:t>1.一般公共服务支出(类)社会工作事务(款)行政运行(项):支出决算数为49.50万元，比上年决算增加49.50万元，增长100.00%,主要原因是：本年度为新成立单位，无上年对比数据。</w:t>
      </w:r>
    </w:p>
    <w:p w14:paraId="6B9AE5E9">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2.社会保障和就业支出(类)行政事业单位养老支出(款)机关事业单位基本养老保险缴费支出(项):支出决算数为5.80万元，比上年决算增加5.80万元，增长100.00%,主要原因是：本年度为新成立单位，无上年对比数据。</w:t>
      </w:r>
    </w:p>
    <w:p w14:paraId="31265AFD">
      <w:pPr>
        <w:spacing w:line="580" w:lineRule="exact"/>
        <w:ind w:firstLine="640"/>
        <w:jc w:val="both"/>
      </w:pPr>
      <w:r>
        <w:rPr>
          <w:rFonts w:ascii="仿宋_GB2312" w:hAnsi="仿宋_GB2312" w:eastAsia="仿宋_GB2312"/>
          <w:b w:val="0"/>
          <w:sz w:val="32"/>
        </w:rPr>
        <w:t>3.住房保障支出(类)住房改革支出(款)住房公积金(项):支出决算数为4.40万元，比上年决算增加4.40万元，增长100.00%,主要原因是：本年度为新成立单位，无上年对比数据。</w:t>
      </w:r>
    </w:p>
    <w:p w14:paraId="143EF0E0">
      <w:pPr>
        <w:spacing w:line="640" w:lineRule="exact"/>
        <w:ind w:firstLine="640"/>
        <w:jc w:val="both"/>
        <w:outlineLvl w:val="2"/>
      </w:pPr>
      <w:r>
        <w:rPr>
          <w:rFonts w:ascii="黑体" w:hAnsi="黑体" w:eastAsia="黑体"/>
          <w:sz w:val="32"/>
        </w:rPr>
        <w:t>六、一般公共预算财政拨款基本支出决算情况说明</w:t>
      </w:r>
    </w:p>
    <w:p w14:paraId="34929E53">
      <w:pPr>
        <w:spacing w:line="580" w:lineRule="exact"/>
        <w:ind w:firstLine="640"/>
        <w:jc w:val="both"/>
      </w:pPr>
      <w:r>
        <w:rPr>
          <w:rFonts w:ascii="仿宋_GB2312" w:hAnsi="仿宋_GB2312" w:eastAsia="仿宋_GB2312"/>
          <w:b w:val="0"/>
          <w:sz w:val="32"/>
        </w:rPr>
        <w:t>2024年度一般公共预算财政拨款基本支出59.71万元，其中：</w:t>
      </w:r>
      <w:r>
        <w:rPr>
          <w:rFonts w:ascii="仿宋_GB2312" w:hAnsi="仿宋_GB2312" w:eastAsia="仿宋_GB2312"/>
          <w:b/>
          <w:sz w:val="32"/>
        </w:rPr>
        <w:t>人员经费58.82万元，</w:t>
      </w:r>
      <w:r>
        <w:rPr>
          <w:rFonts w:ascii="仿宋_GB2312" w:hAnsi="仿宋_GB2312" w:eastAsia="仿宋_GB2312"/>
          <w:b w:val="0"/>
          <w:sz w:val="32"/>
        </w:rPr>
        <w:t>包括：基本工资、津贴补贴、奖金、机关事业单位基本养老保险缴费、职工基本医疗保险缴费、公务员医疗补助缴费、其他社会保障缴费、住房公积金。</w:t>
      </w:r>
    </w:p>
    <w:p w14:paraId="0CCF1B2B">
      <w:pPr>
        <w:spacing w:line="580" w:lineRule="exact"/>
        <w:ind w:firstLine="640"/>
        <w:jc w:val="both"/>
      </w:pPr>
      <w:r>
        <w:rPr>
          <w:rFonts w:ascii="仿宋_GB2312" w:hAnsi="仿宋_GB2312" w:eastAsia="仿宋_GB2312"/>
          <w:b/>
          <w:sz w:val="32"/>
        </w:rPr>
        <w:t>公用经费0.89万元，</w:t>
      </w:r>
      <w:r>
        <w:rPr>
          <w:rFonts w:ascii="仿宋_GB2312" w:hAnsi="仿宋_GB2312" w:eastAsia="仿宋_GB2312"/>
          <w:b w:val="0"/>
          <w:sz w:val="32"/>
        </w:rPr>
        <w:t>包括：办公费、邮电费、差旅费。</w:t>
      </w:r>
    </w:p>
    <w:p w14:paraId="5EA0C2A4">
      <w:pPr>
        <w:spacing w:line="640" w:lineRule="exact"/>
        <w:ind w:firstLine="640"/>
        <w:jc w:val="both"/>
        <w:outlineLvl w:val="2"/>
      </w:pPr>
      <w:r>
        <w:rPr>
          <w:rFonts w:ascii="黑体" w:hAnsi="黑体" w:eastAsia="黑体"/>
          <w:sz w:val="32"/>
        </w:rPr>
        <w:t>七、政府性基金预算财政拨款收入支出决算情况说明</w:t>
      </w:r>
    </w:p>
    <w:p w14:paraId="6CF21B3E">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37790E33">
      <w:pPr>
        <w:spacing w:line="640" w:lineRule="exact"/>
        <w:ind w:firstLine="640"/>
        <w:jc w:val="both"/>
        <w:outlineLvl w:val="2"/>
      </w:pPr>
      <w:r>
        <w:rPr>
          <w:rFonts w:ascii="黑体" w:hAnsi="黑体" w:eastAsia="黑体"/>
          <w:sz w:val="32"/>
        </w:rPr>
        <w:t>八、国有资本经营预算财政拨款收入支出决算情况说明</w:t>
      </w:r>
    </w:p>
    <w:p w14:paraId="4BCDBF67">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1879CBC9">
      <w:pPr>
        <w:spacing w:line="640" w:lineRule="exact"/>
        <w:ind w:firstLine="640"/>
        <w:jc w:val="both"/>
        <w:outlineLvl w:val="2"/>
      </w:pPr>
      <w:r>
        <w:rPr>
          <w:rFonts w:ascii="黑体" w:hAnsi="黑体" w:eastAsia="黑体"/>
          <w:sz w:val="32"/>
        </w:rPr>
        <w:t>九、财政拨款“三公”经费支出决算情况说明</w:t>
      </w:r>
    </w:p>
    <w:p w14:paraId="5BC5702F">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其中：因公出国（境）费支出0.00万元，占0.00%，比上年增加0.00万元，增长0.00%，主要原因是：2023年与2024年均未安排因公出国（境）费支出。公务用车购置及运行维护费支出0.00万元，占0.00%，比上年增加0.00万元，增长0.00%，主要原因是：2023年与2024年均未安排公务用车购置及运行维护费支出。公务接待费支出0.00万元，占0.00%，比上年增加0.00万元，增长0.00%，主要原因是：2023年与2024年均未安排公务接待费支出。</w:t>
      </w:r>
    </w:p>
    <w:p w14:paraId="43531AE3">
      <w:pPr>
        <w:spacing w:line="580" w:lineRule="exact"/>
        <w:ind w:firstLine="640"/>
        <w:jc w:val="both"/>
      </w:pPr>
      <w:r>
        <w:rPr>
          <w:rFonts w:ascii="仿宋_GB2312" w:hAnsi="仿宋_GB2312" w:eastAsia="仿宋_GB2312"/>
          <w:b/>
          <w:sz w:val="32"/>
        </w:rPr>
        <w:t>具体情况如下：</w:t>
      </w:r>
    </w:p>
    <w:p w14:paraId="4BBCF5AA">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246AC2D5">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14:paraId="5FD70533">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0CE6209F">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14:paraId="57F021F2">
      <w:pPr>
        <w:spacing w:line="640" w:lineRule="exact"/>
        <w:ind w:firstLine="640"/>
        <w:jc w:val="both"/>
        <w:outlineLvl w:val="2"/>
      </w:pPr>
      <w:r>
        <w:rPr>
          <w:rFonts w:ascii="黑体" w:hAnsi="黑体" w:eastAsia="黑体"/>
          <w:sz w:val="32"/>
        </w:rPr>
        <w:t>十、其他重要事项的情况说明</w:t>
      </w:r>
    </w:p>
    <w:p w14:paraId="41B5C91F">
      <w:pPr>
        <w:spacing w:line="640" w:lineRule="exact"/>
        <w:ind w:firstLine="640"/>
        <w:jc w:val="both"/>
        <w:outlineLvl w:val="3"/>
      </w:pPr>
      <w:r>
        <w:rPr>
          <w:rFonts w:ascii="楷体_GB2312" w:hAnsi="楷体_GB2312" w:eastAsia="楷体_GB2312"/>
          <w:b/>
          <w:sz w:val="32"/>
        </w:rPr>
        <w:t>（一）机关运行经费及公用经费支出情况</w:t>
      </w:r>
    </w:p>
    <w:p w14:paraId="52F1E170">
      <w:pPr>
        <w:spacing w:line="580" w:lineRule="exact"/>
        <w:ind w:firstLine="640"/>
        <w:jc w:val="both"/>
      </w:pPr>
      <w:r>
        <w:rPr>
          <w:rFonts w:ascii="仿宋_GB2312" w:hAnsi="仿宋_GB2312" w:eastAsia="仿宋_GB2312"/>
          <w:b w:val="0"/>
          <w:sz w:val="32"/>
        </w:rPr>
        <w:t>2024年度中共和田县委员会社会工作部（行政单位和参照公务员法管理事业单位）机关运行经费支出0.89万元，比上年增加0.89万元，增长100.00%，主要原因是：本年度为新成立单位，无上年对比数据。</w:t>
      </w:r>
    </w:p>
    <w:p w14:paraId="093D28E7">
      <w:pPr>
        <w:spacing w:line="640" w:lineRule="exact"/>
        <w:ind w:firstLine="640"/>
        <w:jc w:val="both"/>
        <w:outlineLvl w:val="3"/>
      </w:pPr>
      <w:r>
        <w:rPr>
          <w:rFonts w:ascii="楷体_GB2312" w:hAnsi="楷体_GB2312" w:eastAsia="楷体_GB2312"/>
          <w:b/>
          <w:sz w:val="32"/>
        </w:rPr>
        <w:t>（二）政府采购情况</w:t>
      </w:r>
    </w:p>
    <w:p w14:paraId="52E1AF37">
      <w:pPr>
        <w:spacing w:line="580" w:lineRule="exact"/>
        <w:ind w:firstLine="640"/>
        <w:jc w:val="both"/>
      </w:pPr>
      <w:r>
        <w:rPr>
          <w:rFonts w:ascii="仿宋_GB2312" w:hAnsi="仿宋_GB2312" w:eastAsia="仿宋_GB2312"/>
          <w:b w:val="0"/>
          <w:sz w:val="32"/>
        </w:rPr>
        <w:t>2024年度政府采购支出总额0.00万元，其中：政府采购货物支出0.00万元、政府采购工程支出0.00万元、政府采购服务支出0.00万元。</w:t>
      </w:r>
    </w:p>
    <w:p w14:paraId="6A126298">
      <w:pPr>
        <w:spacing w:line="580" w:lineRule="exact"/>
        <w:ind w:firstLine="640"/>
        <w:jc w:val="both"/>
      </w:pPr>
      <w:r>
        <w:rPr>
          <w:rFonts w:ascii="仿宋_GB2312" w:hAnsi="仿宋_GB2312" w:eastAsia="仿宋_GB2312"/>
          <w:b w:val="0"/>
          <w:sz w:val="32"/>
        </w:rPr>
        <w:t>授予中小企业合同金额0.00万元，占政府采购支出总额的0.00%，其中：授予小微企业合同金额0.00万元，占政府采购支出总额的0.00%。</w:t>
      </w:r>
    </w:p>
    <w:p w14:paraId="24B359D0">
      <w:pPr>
        <w:spacing w:line="640" w:lineRule="exact"/>
        <w:ind w:firstLine="640"/>
        <w:jc w:val="both"/>
        <w:outlineLvl w:val="3"/>
      </w:pPr>
      <w:r>
        <w:rPr>
          <w:rFonts w:ascii="楷体_GB2312" w:hAnsi="楷体_GB2312" w:eastAsia="楷体_GB2312"/>
          <w:b/>
          <w:sz w:val="32"/>
        </w:rPr>
        <w:t>（三）国有资产占用情况说明</w:t>
      </w:r>
    </w:p>
    <w:p w14:paraId="33965943">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w:t>
      </w:r>
      <w:bookmarkStart w:id="0" w:name="_GoBack"/>
      <w:r>
        <w:rPr>
          <w:rFonts w:ascii="仿宋_GB2312" w:hAnsi="仿宋_GB2312" w:eastAsia="仿宋_GB2312"/>
          <w:b w:val="0"/>
          <w:sz w:val="32"/>
        </w:rPr>
        <w:t>执法执勤</w:t>
      </w:r>
      <w:bookmarkEnd w:id="0"/>
      <w:r>
        <w:rPr>
          <w:rFonts w:ascii="仿宋_GB2312" w:hAnsi="仿宋_GB2312" w:eastAsia="仿宋_GB2312"/>
          <w:b w:val="0"/>
          <w:sz w:val="32"/>
        </w:rPr>
        <w:t>用车0辆、特种专业技术用车0辆、离退休干部服务用车0辆、其他用车0辆，其他用车主要是：本单位无其他用车。单价100万元（含）以上设备（不含车辆）0台（套）。</w:t>
      </w:r>
    </w:p>
    <w:p w14:paraId="558F151B">
      <w:pPr>
        <w:spacing w:line="640" w:lineRule="exact"/>
        <w:ind w:firstLine="640"/>
        <w:jc w:val="both"/>
        <w:outlineLvl w:val="2"/>
      </w:pPr>
      <w:r>
        <w:rPr>
          <w:rFonts w:ascii="黑体" w:hAnsi="黑体" w:eastAsia="黑体"/>
          <w:sz w:val="32"/>
        </w:rPr>
        <w:t>十一、预算绩效的情况说明</w:t>
      </w:r>
    </w:p>
    <w:p w14:paraId="11492811">
      <w:pPr>
        <w:spacing w:line="580" w:lineRule="exact"/>
        <w:ind w:firstLine="640"/>
        <w:jc w:val="both"/>
      </w:pPr>
      <w:r>
        <w:rPr>
          <w:rFonts w:ascii="仿宋_GB2312" w:hAnsi="仿宋_GB2312" w:eastAsia="仿宋_GB2312"/>
          <w:b w:val="0"/>
          <w:sz w:val="32"/>
        </w:rPr>
        <w:t>根据预算绩效管理要求，预算绩效评价项目0个，全年预算数0.00万元，全年执行数0.00万元。预算绩效管理取得的成效：本单位无绩效自评项目。发现的问题及原因：本单位无绩效自评项目。下一步改进措施：本单位无绩效自评项目。</w:t>
      </w:r>
    </w:p>
    <w:p w14:paraId="45F36AD4">
      <w:r>
        <w:br w:type="page"/>
      </w:r>
    </w:p>
    <w:p w14:paraId="3D76A7E0">
      <w:pPr>
        <w:spacing w:line="640" w:lineRule="exact"/>
        <w:ind w:firstLine="640"/>
        <w:jc w:val="both"/>
        <w:outlineLvl w:val="2"/>
      </w:pPr>
      <w:r>
        <w:rPr>
          <w:rFonts w:ascii="黑体" w:hAnsi="黑体" w:eastAsia="黑体"/>
          <w:sz w:val="32"/>
        </w:rPr>
        <w:t>十二、其他需说明的事项</w:t>
      </w:r>
    </w:p>
    <w:p w14:paraId="1AEAD583">
      <w:pPr>
        <w:spacing w:line="580" w:lineRule="exact"/>
        <w:ind w:firstLine="640"/>
        <w:jc w:val="both"/>
      </w:pPr>
      <w:r>
        <w:rPr>
          <w:rFonts w:ascii="仿宋_GB2312" w:hAnsi="仿宋_GB2312" w:eastAsia="仿宋_GB2312"/>
          <w:b w:val="0"/>
          <w:sz w:val="32"/>
        </w:rPr>
        <w:t>本单位2024年度无政府采购支出，授予中小企业合同金额0.00万元。</w:t>
      </w:r>
    </w:p>
    <w:p w14:paraId="653B51AE">
      <w:pPr>
        <w:spacing w:line="580" w:lineRule="exact"/>
        <w:ind w:firstLine="640"/>
        <w:jc w:val="both"/>
      </w:pPr>
      <w:r>
        <w:rPr>
          <w:rFonts w:ascii="仿宋_GB2312" w:hAnsi="仿宋_GB2312" w:eastAsia="仿宋_GB2312"/>
          <w:b w:val="0"/>
          <w:sz w:val="32"/>
        </w:rPr>
        <w:t>本单位为年中新成立单位，无整体支出绩效表。</w:t>
      </w:r>
    </w:p>
    <w:p w14:paraId="52E185C7">
      <w:r>
        <w:br w:type="page"/>
      </w:r>
    </w:p>
    <w:p w14:paraId="1A315B17">
      <w:pPr>
        <w:spacing w:line="240" w:lineRule="auto"/>
        <w:jc w:val="center"/>
        <w:outlineLvl w:val="1"/>
      </w:pPr>
      <w:r>
        <w:rPr>
          <w:rFonts w:ascii="黑体" w:hAnsi="黑体" w:eastAsia="黑体"/>
          <w:sz w:val="32"/>
        </w:rPr>
        <w:t>第三部分 专业名词解释</w:t>
      </w:r>
    </w:p>
    <w:p w14:paraId="227CF9FD">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57E718D8">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66C3F871">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04C5511E">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26E4A289">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7250C4A0">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0E93BF5E">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1E10EBFC">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3D51BB1B">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34FB2A68">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634BAF13">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67057B86">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7963776F">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1B46327B">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33F11560">
      <w:r>
        <w:br w:type="page"/>
      </w:r>
    </w:p>
    <w:p w14:paraId="744341FC">
      <w:pPr>
        <w:spacing w:line="240" w:lineRule="auto"/>
        <w:jc w:val="center"/>
        <w:outlineLvl w:val="1"/>
      </w:pPr>
      <w:r>
        <w:rPr>
          <w:rFonts w:ascii="黑体" w:hAnsi="黑体" w:eastAsia="黑体"/>
          <w:sz w:val="32"/>
        </w:rPr>
        <w:t>第四部分 部门决算报表（见附表）</w:t>
      </w:r>
    </w:p>
    <w:p w14:paraId="40B0BB69">
      <w:pPr>
        <w:spacing w:line="240" w:lineRule="auto"/>
        <w:ind w:firstLine="640"/>
        <w:jc w:val="both"/>
      </w:pPr>
      <w:r>
        <w:rPr>
          <w:rFonts w:ascii="仿宋_GB2312" w:hAnsi="仿宋_GB2312" w:eastAsia="仿宋_GB2312"/>
          <w:b w:val="0"/>
          <w:sz w:val="32"/>
        </w:rPr>
        <w:t>一、《收入支出决算总表》</w:t>
      </w:r>
    </w:p>
    <w:p w14:paraId="67B44E92">
      <w:pPr>
        <w:spacing w:line="240" w:lineRule="auto"/>
        <w:ind w:firstLine="640"/>
        <w:jc w:val="both"/>
      </w:pPr>
      <w:r>
        <w:rPr>
          <w:rFonts w:ascii="仿宋_GB2312" w:hAnsi="仿宋_GB2312" w:eastAsia="仿宋_GB2312"/>
          <w:b w:val="0"/>
          <w:sz w:val="32"/>
        </w:rPr>
        <w:t>二、《收入决算表》</w:t>
      </w:r>
    </w:p>
    <w:p w14:paraId="2FA5BB23">
      <w:pPr>
        <w:spacing w:line="240" w:lineRule="auto"/>
        <w:ind w:firstLine="640"/>
        <w:jc w:val="both"/>
      </w:pPr>
      <w:r>
        <w:rPr>
          <w:rFonts w:ascii="仿宋_GB2312" w:hAnsi="仿宋_GB2312" w:eastAsia="仿宋_GB2312"/>
          <w:b w:val="0"/>
          <w:sz w:val="32"/>
        </w:rPr>
        <w:t>三、《支出决算表》</w:t>
      </w:r>
    </w:p>
    <w:p w14:paraId="44F8ABC8">
      <w:pPr>
        <w:spacing w:line="240" w:lineRule="auto"/>
        <w:ind w:firstLine="640"/>
        <w:jc w:val="both"/>
      </w:pPr>
      <w:r>
        <w:rPr>
          <w:rFonts w:ascii="仿宋_GB2312" w:hAnsi="仿宋_GB2312" w:eastAsia="仿宋_GB2312"/>
          <w:b w:val="0"/>
          <w:sz w:val="32"/>
        </w:rPr>
        <w:t>四、《财政拨款收入支出决算总表》</w:t>
      </w:r>
    </w:p>
    <w:p w14:paraId="259CDCE4">
      <w:pPr>
        <w:spacing w:line="240" w:lineRule="auto"/>
        <w:ind w:firstLine="640"/>
        <w:jc w:val="both"/>
      </w:pPr>
      <w:r>
        <w:rPr>
          <w:rFonts w:ascii="仿宋_GB2312" w:hAnsi="仿宋_GB2312" w:eastAsia="仿宋_GB2312"/>
          <w:b w:val="0"/>
          <w:sz w:val="32"/>
        </w:rPr>
        <w:t>五、《一般公共预算财政拨款支出决算表》</w:t>
      </w:r>
    </w:p>
    <w:p w14:paraId="0F5FC08C">
      <w:pPr>
        <w:spacing w:line="240" w:lineRule="auto"/>
        <w:ind w:firstLine="640"/>
        <w:jc w:val="both"/>
      </w:pPr>
      <w:r>
        <w:rPr>
          <w:rFonts w:ascii="仿宋_GB2312" w:hAnsi="仿宋_GB2312" w:eastAsia="仿宋_GB2312"/>
          <w:b w:val="0"/>
          <w:sz w:val="32"/>
        </w:rPr>
        <w:t>六、《一般公共预算财政拨款基本支出决算表》</w:t>
      </w:r>
    </w:p>
    <w:p w14:paraId="7E015AD2">
      <w:pPr>
        <w:spacing w:line="240" w:lineRule="auto"/>
        <w:ind w:firstLine="640"/>
        <w:jc w:val="both"/>
      </w:pPr>
      <w:r>
        <w:rPr>
          <w:rFonts w:ascii="仿宋_GB2312" w:hAnsi="仿宋_GB2312" w:eastAsia="仿宋_GB2312"/>
          <w:b w:val="0"/>
          <w:sz w:val="32"/>
        </w:rPr>
        <w:t>七、《政府性基金预算财政拨款收入支出决算表》</w:t>
      </w:r>
    </w:p>
    <w:p w14:paraId="133AAB0B">
      <w:pPr>
        <w:spacing w:line="240" w:lineRule="auto"/>
        <w:ind w:firstLine="640"/>
        <w:jc w:val="both"/>
      </w:pPr>
      <w:r>
        <w:rPr>
          <w:rFonts w:ascii="仿宋_GB2312" w:hAnsi="仿宋_GB2312" w:eastAsia="仿宋_GB2312"/>
          <w:b w:val="0"/>
          <w:sz w:val="32"/>
        </w:rPr>
        <w:t>八、《国有资本经营预算财政拨款收入支出决算表》</w:t>
      </w:r>
    </w:p>
    <w:p w14:paraId="2FD019DC">
      <w:pPr>
        <w:spacing w:line="240" w:lineRule="auto"/>
        <w:ind w:firstLine="640"/>
        <w:jc w:val="both"/>
      </w:pPr>
      <w:r>
        <w:rPr>
          <w:rFonts w:ascii="仿宋_GB2312" w:hAnsi="仿宋_GB2312" w:eastAsia="仿宋_GB2312"/>
          <w:b w:val="0"/>
          <w:sz w:val="32"/>
        </w:rPr>
        <w:t>九、《财政拨款“三公”经费支出决算表》</w:t>
      </w:r>
    </w:p>
    <w:p w14:paraId="24235F4F">
      <w:pPr>
        <w:spacing w:line="240" w:lineRule="auto"/>
        <w:ind w:firstLine="640"/>
        <w:jc w:val="both"/>
      </w:pPr>
    </w:p>
    <w:p w14:paraId="23472C87">
      <w:pPr>
        <w:spacing w:line="240" w:lineRule="auto"/>
        <w:ind w:firstLine="640"/>
        <w:jc w:val="both"/>
      </w:pPr>
    </w:p>
    <w:p w14:paraId="21AC963A">
      <w:pPr>
        <w:spacing w:line="240" w:lineRule="auto"/>
        <w:ind w:firstLine="640"/>
        <w:jc w:val="both"/>
      </w:pPr>
    </w:p>
    <w:p w14:paraId="459A0E44">
      <w:pPr>
        <w:spacing w:line="240" w:lineRule="auto"/>
        <w:ind w:firstLine="640"/>
        <w:jc w:val="both"/>
      </w:pPr>
    </w:p>
    <w:p w14:paraId="45266C8D">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5858C0"/>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5340</Words>
  <Characters>5883</Characters>
  <Lines>0</Lines>
  <Paragraphs>0</Paragraphs>
  <TotalTime>1</TotalTime>
  <ScaleCrop>false</ScaleCrop>
  <LinksUpToDate>false</LinksUpToDate>
  <CharactersWithSpaces>5894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2025-09-04T07:57:22Z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eyJoZGlkIjoiNTM1NjJiMTUwNmFhZWNlZmQwNDVjMDAxNDMwM2IwMDkiLCJ1c2VySWQiOiIyNTk4NTcxMjUifQ==</vt:lpwstr>
  </property>
</Properties>
</file>