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和田县英艾日克乡第一中心幼儿园2024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73B9EFE">
      <w:r>
        <w:br w:type="page"/>
      </w:r>
    </w:p>
    <w:p w14:paraId="5E708BED">
      <w:pPr>
        <w:spacing w:line="640" w:lineRule="exact"/>
        <w:jc w:val="center"/>
        <w:outlineLvl w:val="1"/>
      </w:pPr>
      <w:r>
        <w:rPr>
          <w:rFonts w:ascii="黑体" w:hAnsi="黑体" w:eastAsia="黑体"/>
          <w:sz w:val="32"/>
        </w:rPr>
        <w:t>第一部分 单位概况</w:t>
      </w:r>
    </w:p>
    <w:p w14:paraId="68FAEB63">
      <w:pPr>
        <w:spacing w:line="640" w:lineRule="exact"/>
        <w:ind w:firstLine="640"/>
        <w:jc w:val="both"/>
        <w:outlineLvl w:val="2"/>
      </w:pPr>
      <w:r>
        <w:rPr>
          <w:rFonts w:ascii="黑体" w:hAnsi="黑体" w:eastAsia="黑体"/>
          <w:sz w:val="32"/>
        </w:rPr>
        <w:t>一、主要职能</w:t>
      </w:r>
    </w:p>
    <w:p w14:paraId="4DE914CD">
      <w:pPr>
        <w:spacing w:line="580" w:lineRule="exact"/>
        <w:ind w:firstLine="640"/>
        <w:jc w:val="both"/>
      </w:pPr>
      <w:r>
        <w:rPr>
          <w:rFonts w:ascii="仿宋_GB2312" w:hAnsi="仿宋_GB2312" w:eastAsia="仿宋_GB2312"/>
          <w:sz w:val="32"/>
        </w:rPr>
        <w:t>（一)全面负责幼儿园工作，认真贯彻落实党和国家的方针、政策，正确执行上级主管部门的决议和指示，全面实施素质教育，培养德、智、体、美等方面全面发展的社会主义事业的建设者和接班人。</w:t>
      </w:r>
    </w:p>
    <w:p w14:paraId="4504E904">
      <w:pPr>
        <w:spacing w:line="580" w:lineRule="exact"/>
        <w:ind w:firstLine="640"/>
        <w:jc w:val="both"/>
      </w:pPr>
      <w:r>
        <w:rPr>
          <w:rFonts w:ascii="仿宋_GB2312" w:hAnsi="仿宋_GB2312" w:eastAsia="仿宋_GB2312"/>
          <w:sz w:val="32"/>
        </w:rPr>
        <w:t>（二）根据教育规律、社会要求和幼儿园实际，组织制定幼儿园发展规划、近期目标、学年和学期各项工作计划以及各项工作指标并组织实施。</w:t>
      </w:r>
    </w:p>
    <w:p w14:paraId="674741E6">
      <w:pPr>
        <w:spacing w:line="580" w:lineRule="exact"/>
        <w:ind w:firstLine="640"/>
        <w:jc w:val="both"/>
      </w:pPr>
      <w:r>
        <w:rPr>
          <w:rFonts w:ascii="仿宋_GB2312" w:hAnsi="仿宋_GB2312" w:eastAsia="仿宋_GB2312"/>
          <w:sz w:val="32"/>
        </w:rPr>
        <w:t>（三）加强幼儿园的科学化管理，制定和健全各项规章制度，规范办学行为，培养良好校风，逐步实现管理决策的科学化，管理方法的定量化和管理手段的现代化。</w:t>
      </w:r>
    </w:p>
    <w:p w14:paraId="067922A1">
      <w:pPr>
        <w:spacing w:line="580" w:lineRule="exact"/>
        <w:ind w:firstLine="640"/>
        <w:jc w:val="both"/>
      </w:pPr>
      <w:r>
        <w:rPr>
          <w:rFonts w:ascii="仿宋_GB2312" w:hAnsi="仿宋_GB2312" w:eastAsia="仿宋_GB2312"/>
          <w:sz w:val="32"/>
        </w:rPr>
        <w:t>（四）负责教师队伍建设工作，决定园内教职工的工作安排，组织对教职工进行考核，实施奖惩。制定教师队伍建设规划，不断提高他们的政治素质、文化业务水平和科研水平。</w:t>
      </w:r>
    </w:p>
    <w:p w14:paraId="5AFC5167">
      <w:pPr>
        <w:spacing w:line="580" w:lineRule="exact"/>
        <w:ind w:firstLine="640"/>
        <w:jc w:val="both"/>
      </w:pPr>
      <w:r>
        <w:rPr>
          <w:rFonts w:ascii="仿宋_GB2312" w:hAnsi="仿宋_GB2312" w:eastAsia="仿宋_GB2312"/>
          <w:sz w:val="32"/>
        </w:rPr>
        <w:t>（五）领导和组织幼儿园的思想政治工作，把德育工作放在首位。研究思想政治工作的要求、内容、方法和规律，不断加强对幼儿的思想政治、法治纪律和道德品质教育以及做好管理工作。教育全体教职工做到教书育人、管理育人、服务育人，搞好幼儿园、社会、家庭三结合教育。</w:t>
      </w:r>
    </w:p>
    <w:p w14:paraId="45CB7E00">
      <w:pPr>
        <w:spacing w:line="580" w:lineRule="exact"/>
        <w:ind w:firstLine="640"/>
        <w:jc w:val="both"/>
      </w:pPr>
      <w:r>
        <w:rPr>
          <w:rFonts w:ascii="仿宋_GB2312" w:hAnsi="仿宋_GB2312" w:eastAsia="仿宋_GB2312"/>
          <w:sz w:val="32"/>
        </w:rPr>
        <w:t>（六）负责领导和组织幼儿园的教学工作，坚持以教学为中心，保证教学计划的贯彻执行。要有计划地参加教研活动，有目的地深入教学第一线，了解教师教学和幼儿生学习情况，要大力推进教学改革，加强科研工作的组织领导。有计划地组织质量检查、分析，提出提高教学质量的方法。</w:t>
      </w:r>
    </w:p>
    <w:p w14:paraId="1C001A1D">
      <w:pPr>
        <w:spacing w:line="580" w:lineRule="exact"/>
        <w:ind w:firstLine="640"/>
        <w:jc w:val="both"/>
      </w:pPr>
      <w:r>
        <w:rPr>
          <w:rFonts w:ascii="仿宋_GB2312" w:hAnsi="仿宋_GB2312" w:eastAsia="仿宋_GB2312"/>
          <w:sz w:val="32"/>
        </w:rPr>
        <w:t>（七）组织制定和实施幼儿园建设和校园建设规划，加强对财务工作的领导，正确使用各项经费，不断改善办学条件，强化安全工作管理，创造良好的育人环境。改善教职工的福利生活，提高福利待遇，努力解除教职工的后顾之忧。</w:t>
      </w:r>
    </w:p>
    <w:p w14:paraId="466A34C6">
      <w:pPr>
        <w:spacing w:line="580" w:lineRule="exact"/>
        <w:ind w:firstLine="640"/>
        <w:jc w:val="both"/>
      </w:pPr>
      <w:r>
        <w:rPr>
          <w:rFonts w:ascii="仿宋_GB2312" w:hAnsi="仿宋_GB2312" w:eastAsia="仿宋_GB2312"/>
          <w:sz w:val="32"/>
        </w:rPr>
        <w:t>（八）加强与党支部的合作，主动接受幼儿园党组织的监督，搞好领导班子的团结和协作。</w:t>
      </w:r>
    </w:p>
    <w:p w14:paraId="0706A051">
      <w:pPr>
        <w:spacing w:line="580" w:lineRule="exact"/>
        <w:ind w:firstLine="640"/>
        <w:jc w:val="both"/>
      </w:pPr>
      <w:r>
        <w:rPr>
          <w:rFonts w:ascii="仿宋_GB2312" w:hAnsi="仿宋_GB2312" w:eastAsia="仿宋_GB2312"/>
          <w:sz w:val="32"/>
        </w:rPr>
        <w:t>（九）依靠群众办学，实行</w:t>
      </w:r>
      <w:r>
        <w:rPr>
          <w:rFonts w:hint="eastAsia" w:ascii="仿宋_GB2312" w:hAnsi="仿宋_GB2312" w:eastAsia="仿宋_GB2312"/>
          <w:sz w:val="32"/>
          <w:lang w:eastAsia="zh-CN"/>
        </w:rPr>
        <w:t>民主管理、民主监督</w:t>
      </w:r>
      <w:r>
        <w:rPr>
          <w:rFonts w:ascii="仿宋_GB2312" w:hAnsi="仿宋_GB2312" w:eastAsia="仿宋_GB2312"/>
          <w:sz w:val="32"/>
        </w:rPr>
        <w:t>。</w:t>
      </w:r>
    </w:p>
    <w:p w14:paraId="44912A69">
      <w:pPr>
        <w:spacing w:line="580" w:lineRule="exact"/>
        <w:ind w:firstLine="640"/>
        <w:jc w:val="both"/>
      </w:pPr>
      <w:r>
        <w:rPr>
          <w:rFonts w:ascii="仿宋_GB2312" w:hAnsi="仿宋_GB2312" w:eastAsia="仿宋_GB2312"/>
          <w:sz w:val="32"/>
        </w:rPr>
        <w:t>（十）主持幼儿园与学生家长及社会的联系工作和外来工作。搞好校际间的交往；做好与社会各界的联系工作，争取各方面力量对学校的支持，为办好幼儿园创造良好的外部条件。</w:t>
      </w:r>
    </w:p>
    <w:p w14:paraId="5EE484F8">
      <w:pPr>
        <w:spacing w:line="640" w:lineRule="exact"/>
        <w:ind w:firstLine="640"/>
        <w:jc w:val="both"/>
        <w:outlineLvl w:val="2"/>
      </w:pPr>
      <w:r>
        <w:rPr>
          <w:rFonts w:ascii="黑体" w:hAnsi="黑体" w:eastAsia="黑体"/>
          <w:sz w:val="32"/>
        </w:rPr>
        <w:t>二、机构设置及人员情况</w:t>
      </w:r>
    </w:p>
    <w:p w14:paraId="0FD98F13">
      <w:pPr>
        <w:spacing w:line="580" w:lineRule="exact"/>
        <w:ind w:firstLine="640"/>
        <w:jc w:val="both"/>
      </w:pPr>
      <w:r>
        <w:rPr>
          <w:rFonts w:ascii="仿宋_GB2312" w:hAnsi="仿宋_GB2312" w:eastAsia="仿宋_GB2312"/>
          <w:sz w:val="32"/>
        </w:rPr>
        <w:t>和田县英艾日克乡第一中心幼儿园2024年度，实有人数52人，其中：在职人员52人，减少1人；离休人员0人，增加0人；退休人员0人,增加0人。</w:t>
      </w:r>
    </w:p>
    <w:p w14:paraId="109ACEE1">
      <w:pPr>
        <w:spacing w:line="580" w:lineRule="exact"/>
        <w:ind w:firstLine="640"/>
        <w:jc w:val="both"/>
      </w:pPr>
      <w:r>
        <w:rPr>
          <w:rFonts w:ascii="仿宋_GB2312" w:hAnsi="仿宋_GB2312" w:eastAsia="仿宋_GB2312"/>
          <w:sz w:val="32"/>
        </w:rPr>
        <w:t>和田县英艾日克乡第一中心幼儿园无下属预算单位，下设4个科室，分别是：园长办公室、校园安全办公室、教务室、总务办公室。</w:t>
      </w:r>
    </w:p>
    <w:p w14:paraId="5CAB0DB0">
      <w:r>
        <w:br w:type="page"/>
      </w:r>
    </w:p>
    <w:p w14:paraId="34BBB411">
      <w:pPr>
        <w:spacing w:line="240" w:lineRule="auto"/>
        <w:jc w:val="center"/>
        <w:outlineLvl w:val="1"/>
      </w:pPr>
      <w:r>
        <w:rPr>
          <w:rFonts w:ascii="黑体" w:hAnsi="黑体" w:eastAsia="黑体"/>
          <w:sz w:val="32"/>
        </w:rPr>
        <w:t>第二部分 部门决算情况说明</w:t>
      </w:r>
    </w:p>
    <w:p w14:paraId="5954B769">
      <w:pPr>
        <w:spacing w:line="640" w:lineRule="exact"/>
        <w:ind w:firstLine="640"/>
        <w:jc w:val="both"/>
        <w:outlineLvl w:val="2"/>
      </w:pPr>
      <w:r>
        <w:rPr>
          <w:rFonts w:ascii="黑体" w:hAnsi="黑体" w:eastAsia="黑体"/>
          <w:sz w:val="32"/>
        </w:rPr>
        <w:t>一、收入支出决算总体情况说明</w:t>
      </w:r>
    </w:p>
    <w:p w14:paraId="0F7DBC32">
      <w:pPr>
        <w:spacing w:line="580" w:lineRule="exact"/>
        <w:ind w:firstLine="640"/>
        <w:jc w:val="both"/>
      </w:pPr>
      <w:r>
        <w:rPr>
          <w:rFonts w:ascii="仿宋_GB2312" w:hAnsi="仿宋_GB2312" w:eastAsia="仿宋_GB2312"/>
          <w:b/>
          <w:sz w:val="32"/>
        </w:rPr>
        <w:t>2024年度收入总计965.64万元，</w:t>
      </w:r>
      <w:r>
        <w:rPr>
          <w:rFonts w:ascii="仿宋_GB2312" w:hAnsi="仿宋_GB2312" w:eastAsia="仿宋_GB2312"/>
          <w:b w:val="0"/>
          <w:sz w:val="32"/>
        </w:rPr>
        <w:t>其中：本年收入合计965.64万元，使用非财政拨款结余（含专用结余）0.00万元，年初结转和结余0.00万元。</w:t>
      </w:r>
    </w:p>
    <w:p w14:paraId="7861B2B9">
      <w:pPr>
        <w:spacing w:line="580" w:lineRule="exact"/>
        <w:ind w:firstLine="640"/>
        <w:jc w:val="both"/>
      </w:pPr>
      <w:r>
        <w:rPr>
          <w:rFonts w:ascii="仿宋_GB2312" w:hAnsi="仿宋_GB2312" w:eastAsia="仿宋_GB2312"/>
          <w:b/>
          <w:sz w:val="32"/>
        </w:rPr>
        <w:t>2024年度支出总计965.64万元，</w:t>
      </w:r>
      <w:r>
        <w:rPr>
          <w:rFonts w:ascii="仿宋_GB2312" w:hAnsi="仿宋_GB2312" w:eastAsia="仿宋_GB2312"/>
          <w:b w:val="0"/>
          <w:sz w:val="32"/>
        </w:rPr>
        <w:t>其中：本年支出合计965.64万元，结余分配0.00万元，年末结转和结余0.00万元。</w:t>
      </w:r>
    </w:p>
    <w:p w14:paraId="43FC3DA6">
      <w:pPr>
        <w:spacing w:line="580" w:lineRule="exact"/>
        <w:ind w:firstLine="640"/>
        <w:jc w:val="both"/>
      </w:pPr>
      <w:r>
        <w:rPr>
          <w:rFonts w:ascii="仿宋_GB2312" w:hAnsi="仿宋_GB2312" w:eastAsia="仿宋_GB2312"/>
          <w:b w:val="0"/>
          <w:sz w:val="32"/>
        </w:rPr>
        <w:t>收入支出总体与上年相比，增加33.84万元，增长3.63%，主要原因是：本年在职人员工资调增、社保、公积金基数调增，人员经费增加。</w:t>
      </w:r>
    </w:p>
    <w:p w14:paraId="41B19FB6">
      <w:pPr>
        <w:spacing w:line="640" w:lineRule="exact"/>
        <w:ind w:firstLine="640"/>
        <w:jc w:val="both"/>
        <w:outlineLvl w:val="2"/>
      </w:pPr>
      <w:r>
        <w:rPr>
          <w:rFonts w:ascii="黑体" w:hAnsi="黑体" w:eastAsia="黑体"/>
          <w:sz w:val="32"/>
        </w:rPr>
        <w:t>二、收入决算情况说明</w:t>
      </w:r>
    </w:p>
    <w:p w14:paraId="585D6860">
      <w:pPr>
        <w:spacing w:line="580" w:lineRule="exact"/>
        <w:ind w:firstLine="640"/>
        <w:jc w:val="both"/>
      </w:pPr>
      <w:r>
        <w:rPr>
          <w:rFonts w:ascii="仿宋_GB2312" w:hAnsi="仿宋_GB2312" w:eastAsia="仿宋_GB2312"/>
          <w:b/>
          <w:sz w:val="32"/>
        </w:rPr>
        <w:t>本年收入965.64万元，</w:t>
      </w:r>
      <w:r>
        <w:rPr>
          <w:rFonts w:ascii="仿宋_GB2312" w:hAnsi="仿宋_GB2312" w:eastAsia="仿宋_GB2312"/>
          <w:b w:val="0"/>
          <w:sz w:val="32"/>
        </w:rPr>
        <w:t>其中：财政拨款收入965.64万元，占100.00%；上级补助收入0.00万元，占0.00%；事业收入0.00万元，占0.00%；经营收入0.00万元，占0.00%；附属单位上缴收入0.00万元，占0.00%；其他收入0.00万元，占0.00%。</w:t>
      </w:r>
    </w:p>
    <w:p w14:paraId="4281CB2C">
      <w:pPr>
        <w:spacing w:line="640" w:lineRule="exact"/>
        <w:ind w:firstLine="640"/>
        <w:jc w:val="both"/>
        <w:outlineLvl w:val="2"/>
      </w:pPr>
      <w:r>
        <w:rPr>
          <w:rFonts w:ascii="黑体" w:hAnsi="黑体" w:eastAsia="黑体"/>
          <w:sz w:val="32"/>
        </w:rPr>
        <w:t>三、支出决算情况说明</w:t>
      </w:r>
    </w:p>
    <w:p w14:paraId="24C66240">
      <w:pPr>
        <w:spacing w:line="580" w:lineRule="exact"/>
        <w:ind w:firstLine="640"/>
        <w:jc w:val="both"/>
      </w:pPr>
      <w:r>
        <w:rPr>
          <w:rFonts w:ascii="仿宋_GB2312" w:hAnsi="仿宋_GB2312" w:eastAsia="仿宋_GB2312"/>
          <w:b/>
          <w:sz w:val="32"/>
        </w:rPr>
        <w:t>本年支出965.64万元，</w:t>
      </w:r>
      <w:r>
        <w:rPr>
          <w:rFonts w:ascii="仿宋_GB2312" w:hAnsi="仿宋_GB2312" w:eastAsia="仿宋_GB2312"/>
          <w:b w:val="0"/>
          <w:sz w:val="32"/>
        </w:rPr>
        <w:t>其中：基本支出837.38万元，占86.72%；项目支出128.27万元，占13.28%；上缴上级支出0.00万元，占0.00%；经营支出0.00万元，占0.00%；对附属单位补助支出0.00万元，占0.00%。</w:t>
      </w:r>
    </w:p>
    <w:p w14:paraId="18E33A29">
      <w:pPr>
        <w:spacing w:line="640" w:lineRule="exact"/>
        <w:ind w:firstLine="640"/>
        <w:jc w:val="both"/>
        <w:outlineLvl w:val="2"/>
      </w:pPr>
      <w:r>
        <w:rPr>
          <w:rFonts w:ascii="黑体" w:hAnsi="黑体" w:eastAsia="黑体"/>
          <w:sz w:val="32"/>
        </w:rPr>
        <w:t>四、财政拨款收入支出决算总体情况说明</w:t>
      </w:r>
    </w:p>
    <w:p w14:paraId="74016B1B">
      <w:pPr>
        <w:spacing w:line="580" w:lineRule="exact"/>
        <w:ind w:firstLine="640"/>
        <w:jc w:val="both"/>
      </w:pPr>
      <w:r>
        <w:rPr>
          <w:rFonts w:ascii="仿宋_GB2312" w:hAnsi="仿宋_GB2312" w:eastAsia="仿宋_GB2312"/>
          <w:b/>
          <w:sz w:val="32"/>
        </w:rPr>
        <w:t>2024年度财政拨款收入总计965.64万元，</w:t>
      </w:r>
      <w:r>
        <w:rPr>
          <w:rFonts w:ascii="仿宋_GB2312" w:hAnsi="仿宋_GB2312" w:eastAsia="仿宋_GB2312"/>
          <w:b w:val="0"/>
          <w:sz w:val="32"/>
        </w:rPr>
        <w:t>其中：年初财政拨款结转和结余0.00万元，本年财政拨款收入965.64万元。</w:t>
      </w:r>
      <w:r>
        <w:rPr>
          <w:rFonts w:ascii="仿宋_GB2312" w:hAnsi="仿宋_GB2312" w:eastAsia="仿宋_GB2312"/>
          <w:b/>
          <w:sz w:val="32"/>
        </w:rPr>
        <w:t>财政拨款支出总计965.64万元，</w:t>
      </w:r>
      <w:r>
        <w:rPr>
          <w:rFonts w:ascii="仿宋_GB2312" w:hAnsi="仿宋_GB2312" w:eastAsia="仿宋_GB2312"/>
          <w:b w:val="0"/>
          <w:sz w:val="32"/>
        </w:rPr>
        <w:t>其中：年末财政拨款结转和结余0.00万元，本年财政拨款支出965.64万元。</w:t>
      </w:r>
    </w:p>
    <w:p w14:paraId="4A0CA668">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增加33.93万元，增长3.64%，主要原因是：本年在职人员工资调增、社保、公积金基数调增，人员经费增加。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年初预算数1,044.74万元，决算数965.64万元，预决算差异率-7.57%，主要原因是：本年学生数减少，年中调减学前教育经费，导致预决算存在差异。</w:t>
      </w:r>
    </w:p>
    <w:p w14:paraId="53DF9DFE">
      <w:pPr>
        <w:spacing w:line="640" w:lineRule="exact"/>
        <w:ind w:firstLine="640"/>
        <w:jc w:val="both"/>
        <w:outlineLvl w:val="2"/>
      </w:pPr>
      <w:r>
        <w:rPr>
          <w:rFonts w:ascii="黑体" w:hAnsi="黑体" w:eastAsia="黑体"/>
          <w:sz w:val="32"/>
        </w:rPr>
        <w:t>五、一般公共预算财政拨款支出决算情况说明</w:t>
      </w:r>
    </w:p>
    <w:p w14:paraId="30C7A9CD">
      <w:pPr>
        <w:spacing w:line="640" w:lineRule="exact"/>
        <w:ind w:firstLine="640"/>
        <w:jc w:val="both"/>
        <w:outlineLvl w:val="3"/>
      </w:pPr>
      <w:r>
        <w:rPr>
          <w:rFonts w:ascii="楷体_GB2312" w:hAnsi="楷体_GB2312" w:eastAsia="楷体_GB2312"/>
          <w:b/>
          <w:sz w:val="32"/>
        </w:rPr>
        <w:t>（一）一般公共预算财政拨款支出决算总体情况</w:t>
      </w:r>
    </w:p>
    <w:p w14:paraId="5C016A20">
      <w:pPr>
        <w:spacing w:line="580" w:lineRule="exact"/>
        <w:ind w:firstLine="640"/>
        <w:jc w:val="both"/>
      </w:pPr>
      <w:r>
        <w:rPr>
          <w:rFonts w:ascii="仿宋_GB2312" w:hAnsi="仿宋_GB2312" w:eastAsia="仿宋_GB2312"/>
          <w:b/>
          <w:sz w:val="32"/>
        </w:rPr>
        <w:t>2024年度一般公共预算财政拨款支出965.64万元，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增加33.93万元，增长3.64%，主要原因是：本年在职人员工资调增，社保、公积金基数调增，人员经费增加。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年初预算数1,044.74万元，决算数965.64万元，预决算差异率-7.57%，主要原因是：本年学生数减少，年中调减学前教育经费，导致预决算存在差异。</w:t>
      </w:r>
    </w:p>
    <w:p w14:paraId="504F717C">
      <w:pPr>
        <w:spacing w:line="640" w:lineRule="exact"/>
        <w:ind w:firstLine="640"/>
        <w:jc w:val="both"/>
        <w:outlineLvl w:val="3"/>
      </w:pPr>
      <w:r>
        <w:rPr>
          <w:rFonts w:ascii="楷体_GB2312" w:hAnsi="楷体_GB2312" w:eastAsia="楷体_GB2312"/>
          <w:b/>
          <w:sz w:val="32"/>
        </w:rPr>
        <w:t>（二）一般公共预算财政拨款支出决算结构情况</w:t>
      </w:r>
    </w:p>
    <w:p w14:paraId="074AA04B">
      <w:pPr>
        <w:spacing w:line="580" w:lineRule="exact"/>
        <w:ind w:firstLine="640"/>
        <w:jc w:val="both"/>
      </w:pPr>
      <w:r>
        <w:rPr>
          <w:rFonts w:ascii="仿宋_GB2312" w:hAnsi="仿宋_GB2312" w:eastAsia="仿宋_GB2312"/>
          <w:b w:val="0"/>
          <w:sz w:val="32"/>
        </w:rPr>
        <w:t>1.教育支出(类)861.90万元,占89.26%。</w:t>
      </w:r>
    </w:p>
    <w:p w14:paraId="5BAF5E54">
      <w:pPr>
        <w:spacing w:line="580" w:lineRule="exact"/>
        <w:ind w:firstLine="640"/>
        <w:jc w:val="both"/>
      </w:pPr>
      <w:r>
        <w:rPr>
          <w:rFonts w:ascii="仿宋_GB2312" w:hAnsi="仿宋_GB2312" w:eastAsia="仿宋_GB2312"/>
          <w:b w:val="0"/>
          <w:sz w:val="32"/>
        </w:rPr>
        <w:t>2.社会保障和就业支出(类)27.35万元,占2.83%。</w:t>
      </w:r>
    </w:p>
    <w:p w14:paraId="49D04A15">
      <w:pPr>
        <w:spacing w:line="580" w:lineRule="exact"/>
        <w:ind w:firstLine="640"/>
        <w:jc w:val="both"/>
      </w:pPr>
      <w:r>
        <w:rPr>
          <w:rFonts w:ascii="仿宋_GB2312" w:hAnsi="仿宋_GB2312" w:eastAsia="仿宋_GB2312"/>
          <w:b w:val="0"/>
          <w:sz w:val="32"/>
        </w:rPr>
        <w:t>3.卫生健康支出(类)11.11万元,占1.15%。</w:t>
      </w:r>
    </w:p>
    <w:p w14:paraId="78A900A1">
      <w:pPr>
        <w:spacing w:line="580" w:lineRule="exact"/>
        <w:ind w:firstLine="640"/>
        <w:jc w:val="both"/>
      </w:pPr>
      <w:r>
        <w:rPr>
          <w:rFonts w:ascii="仿宋_GB2312" w:hAnsi="仿宋_GB2312" w:eastAsia="仿宋_GB2312"/>
          <w:b w:val="0"/>
          <w:sz w:val="32"/>
        </w:rPr>
        <w:t>4.住房保障支出(类)65.28万元,占6.76%。</w:t>
      </w:r>
    </w:p>
    <w:p w14:paraId="5A45A041">
      <w:pPr>
        <w:spacing w:line="640" w:lineRule="exact"/>
        <w:ind w:firstLine="640"/>
        <w:jc w:val="both"/>
        <w:outlineLvl w:val="3"/>
      </w:pPr>
      <w:r>
        <w:rPr>
          <w:rFonts w:ascii="楷体_GB2312" w:hAnsi="楷体_GB2312" w:eastAsia="楷体_GB2312"/>
          <w:b/>
          <w:sz w:val="32"/>
        </w:rPr>
        <w:t>（三）一般公共预算财政拨款支出决算具体情况</w:t>
      </w:r>
    </w:p>
    <w:p w14:paraId="17F4675D">
      <w:pPr>
        <w:spacing w:line="580" w:lineRule="exact"/>
        <w:ind w:firstLine="640"/>
        <w:jc w:val="both"/>
      </w:pPr>
      <w:r>
        <w:rPr>
          <w:rFonts w:ascii="仿宋_GB2312" w:hAnsi="仿宋_GB2312" w:eastAsia="仿宋_GB2312"/>
          <w:b w:val="0"/>
          <w:sz w:val="32"/>
        </w:rPr>
        <w:t>1.教育支出(类)普通教育(款)学前教育(项):支出决算数为861.90万元，比上年决算减少55.94万元，下降6.09%,主要原因是：本年功能科目调整，养老保险缴费、住房公积金、事业单位医疗经费上年部分在此科目支出，本年度全部单独列支，经费较上年减少。</w:t>
      </w:r>
    </w:p>
    <w:p w14:paraId="3E9002D2">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27.35万元，比上年决算增加21.10万元，增长337.60%,主要原因是：本年功能科目调整，养老保险缴费上年度部分在主科目列支，本年全部单独列支，导致经费较上年增加。</w:t>
      </w:r>
    </w:p>
    <w:p w14:paraId="71DE99E5">
      <w:pPr>
        <w:spacing w:line="580" w:lineRule="exact"/>
        <w:ind w:firstLine="640"/>
        <w:jc w:val="both"/>
      </w:pPr>
      <w:r>
        <w:rPr>
          <w:rFonts w:ascii="仿宋_GB2312" w:hAnsi="仿宋_GB2312" w:eastAsia="仿宋_GB2312"/>
          <w:b w:val="0"/>
          <w:sz w:val="32"/>
        </w:rPr>
        <w:t>3.卫生健康支出(类)行政事业单位医疗(款)事业单位医疗(项):支出决算数为11.11万元，比上年决算增加8.86万元，增长393.78%,主要原因是：本年功能科目调整，事业单位医疗支出上年度部分在主科目列支，本年全部单独列支，导致经费较上年增加。</w:t>
      </w:r>
    </w:p>
    <w:p w14:paraId="10BE23CD">
      <w:pPr>
        <w:spacing w:line="580" w:lineRule="exact"/>
        <w:ind w:firstLine="640"/>
        <w:jc w:val="both"/>
      </w:pPr>
      <w:r>
        <w:rPr>
          <w:rFonts w:ascii="仿宋_GB2312" w:hAnsi="仿宋_GB2312" w:eastAsia="仿宋_GB2312"/>
          <w:b w:val="0"/>
          <w:sz w:val="32"/>
        </w:rPr>
        <w:t>4.住房保障支出(类)住房改革支出(款)住房公积金(项):支出决算数为65.28万元，比上年决算增加59.92万元，增长1,117.91%,主要原因是：本年功能科目调整，住房公积金上年度部分在主科目列支，本年度全部单独列支，导致经费较上年增加。</w:t>
      </w:r>
    </w:p>
    <w:p w14:paraId="73BCBA55">
      <w:pPr>
        <w:spacing w:line="640" w:lineRule="exact"/>
        <w:ind w:firstLine="640"/>
        <w:jc w:val="both"/>
        <w:outlineLvl w:val="2"/>
      </w:pPr>
      <w:r>
        <w:rPr>
          <w:rFonts w:ascii="黑体" w:hAnsi="黑体" w:eastAsia="黑体"/>
          <w:sz w:val="32"/>
        </w:rPr>
        <w:t>六、一般公共预算财政拨款基本支出决算情况说明</w:t>
      </w:r>
    </w:p>
    <w:p w14:paraId="03E8FAD4">
      <w:pPr>
        <w:spacing w:line="580" w:lineRule="exact"/>
        <w:ind w:firstLine="640"/>
        <w:jc w:val="both"/>
      </w:pPr>
      <w:r>
        <w:rPr>
          <w:rFonts w:ascii="仿宋_GB2312" w:hAnsi="仿宋_GB2312" w:eastAsia="仿宋_GB2312"/>
          <w:b w:val="0"/>
          <w:sz w:val="32"/>
        </w:rPr>
        <w:t>2024年度一般公共预算财政拨款基本支出837.38万元，其中：</w:t>
      </w:r>
      <w:r>
        <w:rPr>
          <w:rFonts w:ascii="仿宋_GB2312" w:hAnsi="仿宋_GB2312" w:eastAsia="仿宋_GB2312"/>
          <w:b/>
          <w:sz w:val="32"/>
        </w:rPr>
        <w:t>人员经费837.38万元，</w:t>
      </w:r>
      <w:r>
        <w:rPr>
          <w:rFonts w:ascii="仿宋_GB2312" w:hAnsi="仿宋_GB2312" w:eastAsia="仿宋_GB2312"/>
          <w:b w:val="0"/>
          <w:sz w:val="32"/>
        </w:rPr>
        <w:t>包括：基本工资、津贴补贴、奖金、绩效工资、机关事业单位基本养老保险缴费、职工基本医疗保险缴费、其他社会保障缴费、住房公积金。</w:t>
      </w:r>
    </w:p>
    <w:p w14:paraId="22BE4096">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14:paraId="6EE51092">
      <w:pPr>
        <w:spacing w:line="640" w:lineRule="exact"/>
        <w:ind w:firstLine="640"/>
        <w:jc w:val="both"/>
        <w:outlineLvl w:val="2"/>
      </w:pPr>
      <w:r>
        <w:rPr>
          <w:rFonts w:ascii="黑体" w:hAnsi="黑体" w:eastAsia="黑体"/>
          <w:sz w:val="32"/>
        </w:rPr>
        <w:t>七、政府性基金预算财政拨款收入支出决算情况说明</w:t>
      </w:r>
    </w:p>
    <w:p w14:paraId="33B06863">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7CCC34D0">
      <w:pPr>
        <w:spacing w:line="640" w:lineRule="exact"/>
        <w:ind w:firstLine="640"/>
        <w:jc w:val="both"/>
        <w:outlineLvl w:val="2"/>
      </w:pPr>
      <w:r>
        <w:rPr>
          <w:rFonts w:ascii="黑体" w:hAnsi="黑体" w:eastAsia="黑体"/>
          <w:sz w:val="32"/>
        </w:rPr>
        <w:t>八、国有资本经营预算财政拨款收入支出决算情况说明</w:t>
      </w:r>
    </w:p>
    <w:p w14:paraId="491F85DE">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52C6C4C6">
      <w:pPr>
        <w:spacing w:line="640" w:lineRule="exact"/>
        <w:ind w:firstLine="640"/>
        <w:jc w:val="both"/>
        <w:outlineLvl w:val="2"/>
      </w:pPr>
      <w:r>
        <w:rPr>
          <w:rFonts w:ascii="黑体" w:hAnsi="黑体" w:eastAsia="黑体"/>
          <w:sz w:val="32"/>
        </w:rPr>
        <w:t>九、财政拨款“三公”经费支出决算情况说明</w:t>
      </w:r>
    </w:p>
    <w:p w14:paraId="45D89766">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10DD3940">
      <w:pPr>
        <w:spacing w:line="580" w:lineRule="exact"/>
        <w:ind w:firstLine="640"/>
        <w:jc w:val="both"/>
      </w:pPr>
      <w:r>
        <w:rPr>
          <w:rFonts w:ascii="仿宋_GB2312" w:hAnsi="仿宋_GB2312" w:eastAsia="仿宋_GB2312"/>
          <w:b/>
          <w:sz w:val="32"/>
        </w:rPr>
        <w:t>具体情况如下：</w:t>
      </w:r>
    </w:p>
    <w:p w14:paraId="6EC6E14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6B97D932">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14:paraId="6A12F04A">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0BF80606">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07B439DA">
      <w:pPr>
        <w:spacing w:line="640" w:lineRule="exact"/>
        <w:ind w:firstLine="640"/>
        <w:jc w:val="both"/>
        <w:outlineLvl w:val="2"/>
      </w:pPr>
      <w:r>
        <w:rPr>
          <w:rFonts w:ascii="黑体" w:hAnsi="黑体" w:eastAsia="黑体"/>
          <w:sz w:val="32"/>
        </w:rPr>
        <w:t>十、其他重要事项的情况说明</w:t>
      </w:r>
    </w:p>
    <w:p w14:paraId="1881DCE4">
      <w:pPr>
        <w:spacing w:line="640" w:lineRule="exact"/>
        <w:ind w:firstLine="640"/>
        <w:jc w:val="both"/>
        <w:outlineLvl w:val="3"/>
      </w:pPr>
      <w:r>
        <w:rPr>
          <w:rFonts w:ascii="楷体_GB2312" w:hAnsi="楷体_GB2312" w:eastAsia="楷体_GB2312"/>
          <w:b/>
          <w:sz w:val="32"/>
        </w:rPr>
        <w:t>（一）机关运行经费及公用经费支出情况</w:t>
      </w:r>
    </w:p>
    <w:p w14:paraId="2531A0C6">
      <w:pPr>
        <w:spacing w:line="580" w:lineRule="exact"/>
        <w:ind w:firstLine="640"/>
        <w:jc w:val="both"/>
      </w:pPr>
      <w:r>
        <w:rPr>
          <w:rFonts w:ascii="仿宋_GB2312" w:hAnsi="仿宋_GB2312" w:eastAsia="仿宋_GB2312"/>
          <w:b w:val="0"/>
          <w:sz w:val="32"/>
        </w:rPr>
        <w:t>2024年度和田县英艾日克乡第一中心幼儿园（事业单位）公用经费支出0.00万元，比上年增加0.00万元，增长0.00%，主要原因是：2023年与2024年均未安排公用经费支出。</w:t>
      </w:r>
    </w:p>
    <w:p w14:paraId="55246654">
      <w:pPr>
        <w:spacing w:line="640" w:lineRule="exact"/>
        <w:ind w:firstLine="640"/>
        <w:jc w:val="both"/>
        <w:outlineLvl w:val="3"/>
      </w:pPr>
      <w:r>
        <w:rPr>
          <w:rFonts w:ascii="楷体_GB2312" w:hAnsi="楷体_GB2312" w:eastAsia="楷体_GB2312"/>
          <w:b/>
          <w:sz w:val="32"/>
        </w:rPr>
        <w:t>（二）政府采购情况</w:t>
      </w:r>
    </w:p>
    <w:p w14:paraId="681AB2B5">
      <w:pPr>
        <w:spacing w:line="580" w:lineRule="exact"/>
        <w:ind w:firstLine="640"/>
        <w:jc w:val="both"/>
      </w:pPr>
      <w:r>
        <w:rPr>
          <w:rFonts w:ascii="仿宋_GB2312" w:hAnsi="仿宋_GB2312" w:eastAsia="仿宋_GB2312"/>
          <w:b w:val="0"/>
          <w:sz w:val="32"/>
        </w:rPr>
        <w:t>2024年度政府采购支出总额0.35万元，其中：政府采购货物支出0.35万元、政府采购工程支出0.00万元、政府采购服务支出0.00万元。</w:t>
      </w:r>
    </w:p>
    <w:p w14:paraId="1C1650F0">
      <w:pPr>
        <w:spacing w:line="580" w:lineRule="exact"/>
        <w:ind w:firstLine="640"/>
        <w:jc w:val="both"/>
      </w:pPr>
      <w:r>
        <w:rPr>
          <w:rFonts w:ascii="仿宋_GB2312" w:hAnsi="仿宋_GB2312" w:eastAsia="仿宋_GB2312"/>
          <w:b w:val="0"/>
          <w:sz w:val="32"/>
        </w:rPr>
        <w:t>授予中小企业合同金额0.35万元，占政府采购支出总额的100.00%，其中：授予小微企业合同金额0.35万元，占政府采购支出总额的100.00%。</w:t>
      </w:r>
    </w:p>
    <w:p w14:paraId="13B4D2B9">
      <w:pPr>
        <w:spacing w:line="640" w:lineRule="exact"/>
        <w:ind w:firstLine="640"/>
        <w:jc w:val="both"/>
        <w:outlineLvl w:val="3"/>
      </w:pPr>
      <w:r>
        <w:rPr>
          <w:rFonts w:ascii="楷体_GB2312" w:hAnsi="楷体_GB2312" w:eastAsia="楷体_GB2312"/>
          <w:b/>
          <w:sz w:val="32"/>
        </w:rPr>
        <w:t>（三）国有资产占用情况说明</w:t>
      </w:r>
    </w:p>
    <w:p w14:paraId="395A7AB3">
      <w:pPr>
        <w:spacing w:line="580" w:lineRule="exact"/>
        <w:ind w:firstLine="640"/>
        <w:jc w:val="both"/>
      </w:pPr>
      <w:r>
        <w:rPr>
          <w:rFonts w:ascii="仿宋_GB2312" w:hAnsi="仿宋_GB2312" w:eastAsia="仿宋_GB2312"/>
          <w:b w:val="0"/>
          <w:sz w:val="32"/>
        </w:rPr>
        <w:t>截至2024年12月31日，房屋4,947.26平方米，价值1,267.81万元。车辆0辆，价值0.00万元，其中：副部（省）级及以上领导用车0辆、主要负责人用车0辆、机要通信用车0辆、应急保障用车0辆、</w:t>
      </w:r>
      <w:bookmarkStart w:id="0" w:name="_GoBack"/>
      <w:r>
        <w:rPr>
          <w:rFonts w:ascii="仿宋_GB2312" w:hAnsi="仿宋_GB2312" w:eastAsia="仿宋_GB2312"/>
          <w:b w:val="0"/>
          <w:sz w:val="32"/>
        </w:rPr>
        <w:t>执法执勤</w:t>
      </w:r>
      <w:bookmarkEnd w:id="0"/>
      <w:r>
        <w:rPr>
          <w:rFonts w:ascii="仿宋_GB2312" w:hAnsi="仿宋_GB2312" w:eastAsia="仿宋_GB2312"/>
          <w:b w:val="0"/>
          <w:sz w:val="32"/>
        </w:rPr>
        <w:t>用车0辆、特种专业技术用车0辆、离退休干部服务用车0辆、其他用车0辆，其他用车主要是：本单位无其他用车。单价100万元（含）以上设备（不含车辆）0台（套）。</w:t>
      </w:r>
    </w:p>
    <w:p w14:paraId="5E6697FB">
      <w:pPr>
        <w:spacing w:line="640" w:lineRule="exact"/>
        <w:ind w:firstLine="640"/>
        <w:jc w:val="both"/>
        <w:outlineLvl w:val="2"/>
      </w:pPr>
      <w:r>
        <w:rPr>
          <w:rFonts w:ascii="黑体" w:hAnsi="黑体" w:eastAsia="黑体"/>
          <w:sz w:val="32"/>
        </w:rPr>
        <w:t>十一、预算绩效的情况说明</w:t>
      </w:r>
    </w:p>
    <w:p w14:paraId="2BC47003">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965.64万元，实际执行总额965.64万元；预算绩效评价项目0个，全年预算数0.00万元，全年执行数0.00万元。预算绩效管理取得的成效：预算绩效管理的实施不仅提升了政府的服务水平和质量，还增强了政府行为的务实性和高效性。通过预算绩效管理，政府部门能够更好地回应社会公众的需求，提供更多更好的公共产品和公共服务，从而提升了公众的满意度和社会效益。发现的问题及原因：目标设定科学性及评价存在难，对于目标设定需要分科室部门分解，汇总后制定整体目标，如何科学整合全单位绩效目标比较困难；目标设定后如何科学设定考核评价标准，特别是对于不能量化的目标如何评价。下一步改进措施：一是加强学习，进一步明确如何参照考核体系，科学合理设定绩效目标，充分发挥预算绩效管理工作效用；二是</w:t>
      </w:r>
      <w:r>
        <w:rPr>
          <w:rFonts w:hint="eastAsia" w:ascii="仿宋_GB2312" w:hAnsi="仿宋_GB2312" w:eastAsia="仿宋_GB2312"/>
          <w:b w:val="0"/>
          <w:sz w:val="32"/>
          <w:lang w:eastAsia="zh-CN"/>
        </w:rPr>
        <w:t>财务</w:t>
      </w:r>
      <w:r>
        <w:rPr>
          <w:rFonts w:ascii="仿宋_GB2312" w:hAnsi="仿宋_GB2312" w:eastAsia="仿宋_GB2312"/>
          <w:b w:val="0"/>
          <w:sz w:val="32"/>
        </w:rPr>
        <w:t>会计核算要更加详细，为本单位各项工作的开展、总结、评估提供有效数据资料支撑,为各项业务工作</w:t>
      </w:r>
      <w:r>
        <w:rPr>
          <w:rFonts w:hint="eastAsia" w:ascii="仿宋_GB2312" w:hAnsi="仿宋_GB2312" w:eastAsia="仿宋_GB2312"/>
          <w:b w:val="0"/>
          <w:sz w:val="32"/>
          <w:lang w:eastAsia="zh-CN"/>
        </w:rPr>
        <w:t>更好地</w:t>
      </w:r>
      <w:r>
        <w:rPr>
          <w:rFonts w:ascii="仿宋_GB2312" w:hAnsi="仿宋_GB2312" w:eastAsia="仿宋_GB2312"/>
          <w:b w:val="0"/>
          <w:sz w:val="32"/>
        </w:rPr>
        <w:t>开展提供帮助。具体附整体支出绩效自评表。</w:t>
      </w:r>
    </w:p>
    <w:p w14:paraId="3BB50887">
      <w:r>
        <w:br w:type="page"/>
      </w:r>
    </w:p>
    <w:tbl>
      <w:tblPr>
        <w:tblStyle w:val="9"/>
        <w:tblW w:w="5000" w:type="pct"/>
        <w:jc w:val="center"/>
        <w:tblLayout w:type="autofit"/>
        <w:tblCellMar>
          <w:top w:w="32" w:type="dxa"/>
          <w:left w:w="64" w:type="dxa"/>
          <w:bottom w:w="32" w:type="dxa"/>
          <w:right w:w="64" w:type="dxa"/>
        </w:tblCellMar>
      </w:tblPr>
      <w:tblGrid>
        <w:gridCol w:w="544"/>
        <w:gridCol w:w="1033"/>
        <w:gridCol w:w="461"/>
        <w:gridCol w:w="1104"/>
        <w:gridCol w:w="1452"/>
        <w:gridCol w:w="1418"/>
        <w:gridCol w:w="779"/>
        <w:gridCol w:w="1461"/>
        <w:gridCol w:w="720"/>
      </w:tblGrid>
      <w:tr w14:paraId="167138B3">
        <w:tblPrEx>
          <w:tblCellMar>
            <w:top w:w="32" w:type="dxa"/>
            <w:left w:w="64" w:type="dxa"/>
            <w:bottom w:w="32" w:type="dxa"/>
            <w:right w:w="64" w:type="dxa"/>
          </w:tblCellMar>
        </w:tblPrEx>
        <w:trPr>
          <w:trHeight w:val="0" w:hRule="atLeast"/>
          <w:jc w:val="center"/>
        </w:trPr>
        <w:tc>
          <w:tcPr>
            <w:tcW w:w="5000" w:type="pct"/>
            <w:gridSpan w:val="9"/>
            <w:vAlign w:val="center"/>
          </w:tcPr>
          <w:p w14:paraId="48DC5E63">
            <w:pPr>
              <w:snapToGrid w:val="0"/>
              <w:jc w:val="center"/>
            </w:pPr>
            <w:r>
              <w:rPr>
                <w:rFonts w:ascii="宋体" w:hAnsi="宋体" w:eastAsia="宋体"/>
                <w:sz w:val="24"/>
              </w:rPr>
              <w:t>单位整体支出绩效自评表</w:t>
            </w:r>
          </w:p>
        </w:tc>
      </w:tr>
      <w:tr w14:paraId="49DDBDDD">
        <w:tblPrEx>
          <w:tblCellMar>
            <w:top w:w="32" w:type="dxa"/>
            <w:left w:w="64" w:type="dxa"/>
            <w:bottom w:w="32" w:type="dxa"/>
            <w:right w:w="64" w:type="dxa"/>
          </w:tblCellMar>
        </w:tblPrEx>
        <w:trPr>
          <w:trHeight w:val="0" w:hRule="atLeast"/>
          <w:jc w:val="center"/>
        </w:trPr>
        <w:tc>
          <w:tcPr>
            <w:tcW w:w="5000" w:type="pct"/>
            <w:gridSpan w:val="9"/>
            <w:vAlign w:val="center"/>
          </w:tcPr>
          <w:p w14:paraId="5F043B58">
            <w:pPr>
              <w:snapToGrid w:val="0"/>
              <w:jc w:val="center"/>
            </w:pPr>
            <w:r>
              <w:rPr>
                <w:rFonts w:ascii="宋体" w:hAnsi="宋体" w:eastAsia="宋体"/>
                <w:sz w:val="24"/>
              </w:rPr>
              <w:t>（2024年度）</w:t>
            </w:r>
          </w:p>
        </w:tc>
      </w:tr>
      <w:tr w14:paraId="2957A498">
        <w:tblPrEx>
          <w:tblCellMar>
            <w:top w:w="32" w:type="dxa"/>
            <w:left w:w="64" w:type="dxa"/>
            <w:bottom w:w="32" w:type="dxa"/>
            <w:right w:w="64" w:type="dxa"/>
          </w:tblCellMar>
        </w:tblPrEx>
        <w:trPr>
          <w:trHeight w:val="0" w:hRule="atLeast"/>
          <w:jc w:val="center"/>
        </w:trPr>
        <w:tc>
          <w:tcPr>
            <w:tcW w:w="304" w:type="pct"/>
            <w:tcBorders>
              <w:top w:val="single" w:color="auto" w:sz="10" w:space="0"/>
              <w:left w:val="single" w:color="auto" w:sz="10" w:space="0"/>
              <w:bottom w:val="single" w:color="auto" w:sz="10" w:space="0"/>
              <w:right w:val="single" w:color="auto" w:sz="10" w:space="0"/>
              <w:insideV w:val="single" w:sz="10" w:space="0"/>
            </w:tcBorders>
            <w:vAlign w:val="center"/>
          </w:tcPr>
          <w:p w14:paraId="14DDEFCD">
            <w:pPr>
              <w:snapToGrid w:val="0"/>
              <w:jc w:val="center"/>
            </w:pPr>
            <w:r>
              <w:rPr>
                <w:rFonts w:ascii="宋体" w:hAnsi="宋体" w:eastAsia="宋体"/>
                <w:sz w:val="16"/>
              </w:rPr>
              <w:t>单位名称</w:t>
            </w:r>
          </w:p>
        </w:tc>
        <w:tc>
          <w:tcPr>
            <w:tcW w:w="4695" w:type="pct"/>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F78E270">
            <w:pPr>
              <w:snapToGrid w:val="0"/>
              <w:jc w:val="center"/>
            </w:pPr>
            <w:r>
              <w:rPr>
                <w:rFonts w:ascii="宋体" w:hAnsi="宋体" w:eastAsia="宋体"/>
                <w:sz w:val="16"/>
              </w:rPr>
              <w:t>和田县英艾日克乡第一中心幼儿园</w:t>
            </w:r>
          </w:p>
        </w:tc>
      </w:tr>
      <w:tr w14:paraId="49B1C086">
        <w:tblPrEx>
          <w:tblCellMar>
            <w:top w:w="32" w:type="dxa"/>
            <w:left w:w="64" w:type="dxa"/>
            <w:bottom w:w="32" w:type="dxa"/>
            <w:right w:w="64" w:type="dxa"/>
          </w:tblCellMar>
        </w:tblPrEx>
        <w:trPr>
          <w:trHeight w:val="0" w:hRule="atLeast"/>
          <w:jc w:val="center"/>
        </w:trPr>
        <w:tc>
          <w:tcPr>
            <w:tcW w:w="304"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11B4A3">
            <w:pPr>
              <w:snapToGrid w:val="0"/>
              <w:jc w:val="center"/>
            </w:pPr>
            <w:r>
              <w:rPr>
                <w:rFonts w:ascii="宋体" w:hAnsi="宋体" w:eastAsia="宋体"/>
                <w:sz w:val="16"/>
              </w:rPr>
              <w:t>年度预算（万元）</w:t>
            </w:r>
          </w:p>
        </w:tc>
        <w:tc>
          <w:tcPr>
            <w:tcW w:w="833"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BFD638">
            <w:pPr>
              <w:snapToGrid w:val="0"/>
              <w:jc w:val="center"/>
            </w:pPr>
            <w:r>
              <w:rPr>
                <w:rFonts w:ascii="宋体" w:hAnsi="宋体" w:eastAsia="宋体"/>
                <w:sz w:val="16"/>
              </w:rPr>
              <w:t>资金来源</w:t>
            </w:r>
          </w:p>
        </w:tc>
        <w:tc>
          <w:tcPr>
            <w:tcW w:w="615" w:type="pct"/>
            <w:tcBorders>
              <w:top w:val="single" w:color="auto" w:sz="10" w:space="0"/>
              <w:left w:val="single" w:color="auto" w:sz="10" w:space="0"/>
              <w:bottom w:val="single" w:color="auto" w:sz="10" w:space="0"/>
              <w:right w:val="single" w:color="auto" w:sz="10" w:space="0"/>
              <w:insideV w:val="single" w:sz="10" w:space="0"/>
            </w:tcBorders>
            <w:vAlign w:val="center"/>
          </w:tcPr>
          <w:p w14:paraId="68850113">
            <w:pPr>
              <w:snapToGrid w:val="0"/>
              <w:jc w:val="center"/>
            </w:pPr>
            <w:r>
              <w:rPr>
                <w:rFonts w:ascii="宋体" w:hAnsi="宋体" w:eastAsia="宋体"/>
                <w:sz w:val="16"/>
              </w:rPr>
              <w:t>年初预算数</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562E435E">
            <w:pPr>
              <w:snapToGrid w:val="0"/>
              <w:jc w:val="center"/>
            </w:pPr>
            <w:r>
              <w:rPr>
                <w:rFonts w:ascii="宋体" w:hAnsi="宋体" w:eastAsia="宋体"/>
                <w:sz w:val="16"/>
              </w:rPr>
              <w:t>全年预算数</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65135A4E">
            <w:pPr>
              <w:snapToGrid w:val="0"/>
              <w:jc w:val="center"/>
            </w:pPr>
            <w:r>
              <w:rPr>
                <w:rFonts w:ascii="宋体" w:hAnsi="宋体" w:eastAsia="宋体"/>
                <w:sz w:val="16"/>
              </w:rPr>
              <w:t>全年执行数</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2D5CE228">
            <w:pPr>
              <w:snapToGrid w:val="0"/>
              <w:jc w:val="center"/>
            </w:pPr>
            <w:r>
              <w:rPr>
                <w:rFonts w:ascii="宋体" w:hAnsi="宋体" w:eastAsia="宋体"/>
                <w:sz w:val="16"/>
              </w:rPr>
              <w:t>分值权重</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23062650">
            <w:pPr>
              <w:snapToGrid w:val="0"/>
              <w:jc w:val="center"/>
            </w:pPr>
            <w:r>
              <w:rPr>
                <w:rFonts w:ascii="宋体" w:hAnsi="宋体" w:eastAsia="宋体"/>
                <w:sz w:val="16"/>
              </w:rPr>
              <w:t>执行率</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206DEAD">
            <w:pPr>
              <w:snapToGrid w:val="0"/>
              <w:jc w:val="center"/>
            </w:pPr>
            <w:r>
              <w:rPr>
                <w:rFonts w:ascii="宋体" w:hAnsi="宋体" w:eastAsia="宋体"/>
                <w:sz w:val="16"/>
              </w:rPr>
              <w:t>得分</w:t>
            </w:r>
          </w:p>
        </w:tc>
      </w:tr>
      <w:tr w14:paraId="488235DC">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3C99513A">
            <w:pPr>
              <w:snapToGrid w:val="0"/>
            </w:pPr>
          </w:p>
        </w:tc>
        <w:tc>
          <w:tcPr>
            <w:tcW w:w="576"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2C0B5A">
            <w:pPr>
              <w:snapToGrid w:val="0"/>
              <w:jc w:val="center"/>
            </w:pPr>
            <w:r>
              <w:rPr>
                <w:rFonts w:ascii="宋体" w:hAnsi="宋体" w:eastAsia="宋体"/>
                <w:sz w:val="16"/>
              </w:rPr>
              <w:t>财政资金（万元）</w:t>
            </w:r>
          </w:p>
        </w:tc>
        <w:tc>
          <w:tcPr>
            <w:tcW w:w="256" w:type="pct"/>
            <w:tcBorders>
              <w:top w:val="single" w:color="auto" w:sz="10" w:space="0"/>
              <w:left w:val="single" w:color="auto" w:sz="10" w:space="0"/>
              <w:bottom w:val="single" w:color="auto" w:sz="10" w:space="0"/>
              <w:right w:val="single" w:color="auto" w:sz="10" w:space="0"/>
              <w:insideV w:val="single" w:sz="10" w:space="0"/>
            </w:tcBorders>
            <w:vAlign w:val="center"/>
          </w:tcPr>
          <w:p w14:paraId="474E87A3">
            <w:pPr>
              <w:snapToGrid w:val="0"/>
              <w:jc w:val="center"/>
            </w:pPr>
            <w:r>
              <w:rPr>
                <w:rFonts w:ascii="宋体" w:hAnsi="宋体" w:eastAsia="宋体"/>
                <w:sz w:val="16"/>
              </w:rPr>
              <w:t>上级</w:t>
            </w:r>
          </w:p>
        </w:tc>
        <w:tc>
          <w:tcPr>
            <w:tcW w:w="615" w:type="pct"/>
            <w:tcBorders>
              <w:top w:val="single" w:color="auto" w:sz="10" w:space="0"/>
              <w:left w:val="single" w:color="auto" w:sz="10" w:space="0"/>
              <w:bottom w:val="single" w:color="auto" w:sz="10" w:space="0"/>
              <w:right w:val="single" w:color="auto" w:sz="10" w:space="0"/>
              <w:insideV w:val="single" w:sz="10" w:space="0"/>
            </w:tcBorders>
            <w:vAlign w:val="center"/>
          </w:tcPr>
          <w:p w14:paraId="254F368D">
            <w:pPr>
              <w:snapToGrid w:val="0"/>
              <w:jc w:val="center"/>
            </w:pPr>
            <w:r>
              <w:rPr>
                <w:rFonts w:ascii="宋体" w:hAnsi="宋体" w:eastAsia="宋体"/>
                <w:sz w:val="16"/>
              </w:rPr>
              <w:t>160.15</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59DBC59A">
            <w:pPr>
              <w:snapToGrid w:val="0"/>
              <w:jc w:val="center"/>
            </w:pPr>
            <w:r>
              <w:rPr>
                <w:rFonts w:ascii="宋体" w:hAnsi="宋体" w:eastAsia="宋体"/>
                <w:sz w:val="16"/>
              </w:rPr>
              <w:t>128.27</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62306F7B">
            <w:pPr>
              <w:snapToGrid w:val="0"/>
              <w:jc w:val="center"/>
            </w:pPr>
            <w:r>
              <w:rPr>
                <w:rFonts w:ascii="宋体" w:hAnsi="宋体" w:eastAsia="宋体"/>
                <w:sz w:val="16"/>
              </w:rPr>
              <w:t>128.27</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2A44382C">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309F510D">
            <w:pPr>
              <w:snapToGrid w:val="0"/>
              <w:jc w:val="center"/>
            </w:pPr>
            <w:r>
              <w:rPr>
                <w:rFonts w:ascii="宋体" w:hAnsi="宋体" w:eastAsia="宋体"/>
                <w:sz w:val="16"/>
              </w:rPr>
              <w:t>100.00%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F4B5FC6">
            <w:pPr>
              <w:snapToGrid w:val="0"/>
              <w:jc w:val="center"/>
            </w:pPr>
            <w:r>
              <w:rPr>
                <w:rFonts w:ascii="宋体" w:hAnsi="宋体" w:eastAsia="宋体"/>
                <w:sz w:val="16"/>
              </w:rPr>
              <w:t>10</w:t>
            </w:r>
          </w:p>
        </w:tc>
      </w:tr>
      <w:tr w14:paraId="0BA4DE6D">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65E3E212">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576815EF">
            <w:pPr>
              <w:snapToGrid w:val="0"/>
            </w:pPr>
          </w:p>
        </w:tc>
        <w:tc>
          <w:tcPr>
            <w:tcW w:w="256" w:type="pct"/>
            <w:tcBorders>
              <w:top w:val="single" w:color="auto" w:sz="10" w:space="0"/>
              <w:left w:val="single" w:color="auto" w:sz="10" w:space="0"/>
              <w:bottom w:val="single" w:color="auto" w:sz="10" w:space="0"/>
              <w:right w:val="single" w:color="auto" w:sz="10" w:space="0"/>
              <w:insideV w:val="single" w:sz="10" w:space="0"/>
            </w:tcBorders>
            <w:vAlign w:val="center"/>
          </w:tcPr>
          <w:p w14:paraId="6B619FAB">
            <w:pPr>
              <w:snapToGrid w:val="0"/>
              <w:jc w:val="center"/>
            </w:pPr>
            <w:r>
              <w:rPr>
                <w:rFonts w:ascii="宋体" w:hAnsi="宋体" w:eastAsia="宋体"/>
                <w:sz w:val="16"/>
              </w:rPr>
              <w:t>本级</w:t>
            </w:r>
          </w:p>
        </w:tc>
        <w:tc>
          <w:tcPr>
            <w:tcW w:w="615" w:type="pct"/>
            <w:tcBorders>
              <w:top w:val="single" w:color="auto" w:sz="10" w:space="0"/>
              <w:left w:val="single" w:color="auto" w:sz="10" w:space="0"/>
              <w:bottom w:val="single" w:color="auto" w:sz="10" w:space="0"/>
              <w:right w:val="single" w:color="auto" w:sz="10" w:space="0"/>
              <w:insideV w:val="single" w:sz="10" w:space="0"/>
            </w:tcBorders>
            <w:vAlign w:val="center"/>
          </w:tcPr>
          <w:p w14:paraId="6EEE03BC">
            <w:pPr>
              <w:snapToGrid w:val="0"/>
              <w:jc w:val="center"/>
            </w:pPr>
            <w:r>
              <w:rPr>
                <w:rFonts w:ascii="宋体" w:hAnsi="宋体" w:eastAsia="宋体"/>
                <w:sz w:val="16"/>
              </w:rPr>
              <w:t>884.59</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1A48ACAB">
            <w:pPr>
              <w:snapToGrid w:val="0"/>
              <w:jc w:val="center"/>
            </w:pPr>
            <w:r>
              <w:rPr>
                <w:rFonts w:ascii="宋体" w:hAnsi="宋体" w:eastAsia="宋体"/>
                <w:sz w:val="16"/>
              </w:rPr>
              <w:t>837.37</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6AD05144">
            <w:pPr>
              <w:snapToGrid w:val="0"/>
              <w:jc w:val="center"/>
            </w:pPr>
            <w:r>
              <w:rPr>
                <w:rFonts w:ascii="宋体" w:hAnsi="宋体" w:eastAsia="宋体"/>
                <w:sz w:val="16"/>
              </w:rPr>
              <w:t>837.37</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08AA4D01">
            <w:pPr>
              <w:snapToGrid w:val="0"/>
              <w:jc w:val="center"/>
            </w:pPr>
            <w:r>
              <w:rPr>
                <w:rFonts w:ascii="宋体" w:hAnsi="宋体" w:eastAsia="宋体"/>
                <w:sz w:val="16"/>
              </w:rPr>
              <w:t>-</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62EA05C2">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3C37F19">
            <w:pPr>
              <w:snapToGrid w:val="0"/>
              <w:jc w:val="center"/>
            </w:pPr>
            <w:r>
              <w:rPr>
                <w:rFonts w:ascii="宋体" w:hAnsi="宋体" w:eastAsia="宋体"/>
                <w:sz w:val="16"/>
              </w:rPr>
              <w:t>-</w:t>
            </w:r>
          </w:p>
        </w:tc>
      </w:tr>
      <w:tr w14:paraId="53B22EF5">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12E5E55C">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441482EA">
            <w:pPr>
              <w:snapToGrid w:val="0"/>
            </w:pPr>
          </w:p>
        </w:tc>
        <w:tc>
          <w:tcPr>
            <w:tcW w:w="256" w:type="pct"/>
            <w:tcBorders>
              <w:top w:val="single" w:color="auto" w:sz="10" w:space="0"/>
              <w:left w:val="single" w:color="auto" w:sz="10" w:space="0"/>
              <w:bottom w:val="single" w:color="auto" w:sz="10" w:space="0"/>
              <w:right w:val="single" w:color="auto" w:sz="10" w:space="0"/>
              <w:insideV w:val="single" w:sz="10" w:space="0"/>
            </w:tcBorders>
            <w:vAlign w:val="center"/>
          </w:tcPr>
          <w:p w14:paraId="68049791">
            <w:pPr>
              <w:snapToGrid w:val="0"/>
              <w:jc w:val="center"/>
            </w:pPr>
            <w:r>
              <w:rPr>
                <w:rFonts w:ascii="宋体" w:hAnsi="宋体" w:eastAsia="宋体"/>
                <w:sz w:val="16"/>
              </w:rPr>
              <w:t>其他</w:t>
            </w:r>
          </w:p>
        </w:tc>
        <w:tc>
          <w:tcPr>
            <w:tcW w:w="615" w:type="pct"/>
            <w:tcBorders>
              <w:top w:val="single" w:color="auto" w:sz="10" w:space="0"/>
              <w:left w:val="single" w:color="auto" w:sz="10" w:space="0"/>
              <w:bottom w:val="single" w:color="auto" w:sz="10" w:space="0"/>
              <w:right w:val="single" w:color="auto" w:sz="10" w:space="0"/>
              <w:insideV w:val="single" w:sz="10" w:space="0"/>
            </w:tcBorders>
            <w:vAlign w:val="center"/>
          </w:tcPr>
          <w:p w14:paraId="6DCE4C2D">
            <w:pPr>
              <w:snapToGrid w:val="0"/>
              <w:jc w:val="center"/>
            </w:pPr>
            <w:r>
              <w:rPr>
                <w:rFonts w:ascii="宋体" w:hAnsi="宋体" w:eastAsia="宋体"/>
                <w:sz w:val="16"/>
              </w:rPr>
              <w:t>0.00</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73C8E57C">
            <w:pPr>
              <w:snapToGrid w:val="0"/>
              <w:jc w:val="center"/>
            </w:pPr>
            <w:r>
              <w:rPr>
                <w:rFonts w:ascii="宋体" w:hAnsi="宋体" w:eastAsia="宋体"/>
                <w:sz w:val="16"/>
              </w:rPr>
              <w:t>0.00</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56BD8093">
            <w:pPr>
              <w:snapToGrid w:val="0"/>
              <w:jc w:val="center"/>
            </w:pPr>
            <w:r>
              <w:rPr>
                <w:rFonts w:ascii="宋体" w:hAnsi="宋体" w:eastAsia="宋体"/>
                <w:sz w:val="16"/>
              </w:rPr>
              <w:t>0.00</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7260188C">
            <w:pPr>
              <w:snapToGrid w:val="0"/>
              <w:jc w:val="center"/>
            </w:pPr>
            <w:r>
              <w:rPr>
                <w:rFonts w:ascii="宋体" w:hAnsi="宋体" w:eastAsia="宋体"/>
                <w:sz w:val="16"/>
              </w:rPr>
              <w:t>-</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40CE8DDF">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6B4FAA73">
            <w:pPr>
              <w:snapToGrid w:val="0"/>
              <w:jc w:val="center"/>
            </w:pPr>
            <w:r>
              <w:rPr>
                <w:rFonts w:ascii="宋体" w:hAnsi="宋体" w:eastAsia="宋体"/>
                <w:sz w:val="16"/>
              </w:rPr>
              <w:t>-</w:t>
            </w:r>
          </w:p>
        </w:tc>
      </w:tr>
      <w:tr w14:paraId="7B125B8B">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547989F8">
            <w:pPr>
              <w:snapToGrid w:val="0"/>
            </w:pP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7745B40C">
            <w:pPr>
              <w:snapToGrid w:val="0"/>
              <w:jc w:val="center"/>
            </w:pPr>
            <w:r>
              <w:rPr>
                <w:rFonts w:ascii="宋体" w:hAnsi="宋体" w:eastAsia="宋体"/>
                <w:sz w:val="16"/>
              </w:rPr>
              <w:t>合计</w:t>
            </w:r>
          </w:p>
        </w:tc>
        <w:tc>
          <w:tcPr>
            <w:tcW w:w="256" w:type="pct"/>
            <w:tcBorders>
              <w:top w:val="single" w:color="auto" w:sz="10" w:space="0"/>
              <w:left w:val="single" w:color="auto" w:sz="10" w:space="0"/>
              <w:bottom w:val="single" w:color="auto" w:sz="10" w:space="0"/>
              <w:right w:val="single" w:color="auto" w:sz="10" w:space="0"/>
              <w:insideV w:val="single" w:sz="10" w:space="0"/>
            </w:tcBorders>
            <w:vAlign w:val="center"/>
          </w:tcPr>
          <w:p w14:paraId="5B606F91">
            <w:pPr>
              <w:snapToGrid w:val="0"/>
              <w:jc w:val="center"/>
            </w:pPr>
            <w:r>
              <w:rPr>
                <w:rFonts w:ascii="宋体" w:hAnsi="宋体" w:eastAsia="宋体"/>
                <w:sz w:val="16"/>
              </w:rPr>
              <w:t>-</w:t>
            </w:r>
          </w:p>
        </w:tc>
        <w:tc>
          <w:tcPr>
            <w:tcW w:w="615" w:type="pct"/>
            <w:tcBorders>
              <w:top w:val="single" w:color="auto" w:sz="10" w:space="0"/>
              <w:left w:val="single" w:color="auto" w:sz="10" w:space="0"/>
              <w:bottom w:val="single" w:color="auto" w:sz="10" w:space="0"/>
              <w:right w:val="single" w:color="auto" w:sz="10" w:space="0"/>
              <w:insideV w:val="single" w:sz="10" w:space="0"/>
            </w:tcBorders>
            <w:vAlign w:val="center"/>
          </w:tcPr>
          <w:p w14:paraId="1435D3AF">
            <w:pPr>
              <w:snapToGrid w:val="0"/>
              <w:jc w:val="center"/>
            </w:pPr>
            <w:r>
              <w:rPr>
                <w:rFonts w:ascii="宋体" w:hAnsi="宋体" w:eastAsia="宋体"/>
                <w:sz w:val="16"/>
              </w:rPr>
              <w:t>1,044.74</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420A94C8">
            <w:pPr>
              <w:snapToGrid w:val="0"/>
              <w:jc w:val="center"/>
            </w:pPr>
            <w:r>
              <w:rPr>
                <w:rFonts w:ascii="宋体" w:hAnsi="宋体" w:eastAsia="宋体"/>
                <w:sz w:val="16"/>
              </w:rPr>
              <w:t>965.64</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5BF72AE5">
            <w:pPr>
              <w:snapToGrid w:val="0"/>
              <w:jc w:val="center"/>
            </w:pPr>
            <w:r>
              <w:rPr>
                <w:rFonts w:ascii="宋体" w:hAnsi="宋体" w:eastAsia="宋体"/>
                <w:sz w:val="16"/>
              </w:rPr>
              <w:t>965.64</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57DB0240">
            <w:pPr>
              <w:snapToGrid w:val="0"/>
              <w:jc w:val="center"/>
            </w:pPr>
            <w:r>
              <w:rPr>
                <w:rFonts w:ascii="宋体" w:hAnsi="宋体" w:eastAsia="宋体"/>
                <w:sz w:val="16"/>
              </w:rPr>
              <w:t>-</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771140D7">
            <w:pPr>
              <w:snapToGrid w:val="0"/>
              <w:jc w:val="center"/>
            </w:pPr>
            <w:r>
              <w:rPr>
                <w:rFonts w:ascii="宋体" w:hAnsi="宋体" w:eastAsia="宋体"/>
                <w:sz w:val="16"/>
              </w:rPr>
              <w:t>-</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37510F36">
            <w:pPr>
              <w:snapToGrid w:val="0"/>
              <w:jc w:val="center"/>
            </w:pPr>
            <w:r>
              <w:rPr>
                <w:rFonts w:ascii="宋体" w:hAnsi="宋体" w:eastAsia="宋体"/>
                <w:sz w:val="16"/>
              </w:rPr>
              <w:t>-</w:t>
            </w:r>
          </w:p>
        </w:tc>
      </w:tr>
      <w:tr w14:paraId="428AD859">
        <w:tblPrEx>
          <w:tblCellMar>
            <w:top w:w="32" w:type="dxa"/>
            <w:left w:w="64" w:type="dxa"/>
            <w:bottom w:w="32" w:type="dxa"/>
            <w:right w:w="64" w:type="dxa"/>
          </w:tblCellMar>
        </w:tblPrEx>
        <w:trPr>
          <w:trHeight w:val="0" w:hRule="atLeast"/>
          <w:jc w:val="center"/>
        </w:trPr>
        <w:tc>
          <w:tcPr>
            <w:tcW w:w="304"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F13242">
            <w:pPr>
              <w:snapToGrid w:val="0"/>
              <w:jc w:val="center"/>
            </w:pPr>
            <w:r>
              <w:rPr>
                <w:rFonts w:ascii="宋体" w:hAnsi="宋体" w:eastAsia="宋体"/>
                <w:sz w:val="16"/>
              </w:rPr>
              <w:t>年度总体目标</w:t>
            </w:r>
          </w:p>
        </w:tc>
        <w:tc>
          <w:tcPr>
            <w:tcW w:w="144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553993E">
            <w:pPr>
              <w:snapToGrid w:val="0"/>
              <w:jc w:val="center"/>
            </w:pPr>
            <w:r>
              <w:rPr>
                <w:rFonts w:ascii="宋体" w:hAnsi="宋体" w:eastAsia="宋体"/>
                <w:sz w:val="16"/>
              </w:rPr>
              <w:t>预期目标</w:t>
            </w:r>
          </w:p>
        </w:tc>
        <w:tc>
          <w:tcPr>
            <w:tcW w:w="3246"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B5FE99A">
            <w:pPr>
              <w:snapToGrid w:val="0"/>
              <w:jc w:val="center"/>
            </w:pPr>
            <w:r>
              <w:rPr>
                <w:rFonts w:ascii="宋体" w:hAnsi="宋体" w:eastAsia="宋体"/>
                <w:sz w:val="16"/>
              </w:rPr>
              <w:t>实际完成情况</w:t>
            </w:r>
          </w:p>
        </w:tc>
      </w:tr>
      <w:tr w14:paraId="43C90808">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07349042">
            <w:pPr>
              <w:snapToGrid w:val="0"/>
            </w:pPr>
          </w:p>
        </w:tc>
        <w:tc>
          <w:tcPr>
            <w:tcW w:w="1448" w:type="pct"/>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A7B80B9">
            <w:pPr>
              <w:snapToGrid w:val="0"/>
              <w:jc w:val="both"/>
            </w:pPr>
            <w:r>
              <w:rPr>
                <w:rFonts w:ascii="宋体" w:hAnsi="宋体" w:eastAsia="宋体"/>
                <w:sz w:val="16"/>
              </w:rPr>
              <w:t>坚持德育为首，以人为本质量强校的办学思想，以党建办统领，教学常规管理为切入点，坚持科学发展观，依法治校，认真抓好学校各项管理工作，着力构建和谐校园，</w:t>
            </w:r>
          </w:p>
        </w:tc>
        <w:tc>
          <w:tcPr>
            <w:tcW w:w="3246" w:type="pct"/>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30AF5F">
            <w:pPr>
              <w:snapToGrid w:val="0"/>
              <w:jc w:val="both"/>
            </w:pPr>
            <w:r>
              <w:rPr>
                <w:rFonts w:hint="eastAsia" w:ascii="宋体" w:hAnsi="宋体"/>
                <w:sz w:val="16"/>
                <w:lang w:eastAsia="zh-CN"/>
              </w:rPr>
              <w:t>截至</w:t>
            </w:r>
            <w:r>
              <w:rPr>
                <w:rFonts w:ascii="宋体" w:hAnsi="宋体" w:eastAsia="宋体"/>
                <w:sz w:val="16"/>
              </w:rPr>
              <w:t>自评节点，我幼儿园坚持以“德育为首，以人为本，质量强校”的办学思想，以党建为统领，教学常规管理为切入点，坚持科学发展观，依法治校，认真抓好学校各项管理工作，着力构建和谐校园。基本经费成本控制在837.37万元、项目经费成本控制在128.27万元，保育员在年底取得MHK三级乙等证书达到了53.85%、在园教师取得普通话证书达到了88.46%、本年度教育教学工作考核评估完成了12次、营养改善学生实名制信息登记并公示率为100%、普惠性幼儿园工作完成率为100%、辖区内适龄儿童入学率达到了100%，通过对学生及家长发放了满意度问卷调查，学生及家长满意度达到了98.16%。</w:t>
            </w:r>
          </w:p>
        </w:tc>
      </w:tr>
      <w:tr w14:paraId="6000A3C9">
        <w:tblPrEx>
          <w:tblCellMar>
            <w:top w:w="32" w:type="dxa"/>
            <w:left w:w="64" w:type="dxa"/>
            <w:bottom w:w="32" w:type="dxa"/>
            <w:right w:w="64" w:type="dxa"/>
          </w:tblCellMar>
        </w:tblPrEx>
        <w:trPr>
          <w:trHeight w:val="0" w:hRule="atLeast"/>
          <w:jc w:val="center"/>
        </w:trPr>
        <w:tc>
          <w:tcPr>
            <w:tcW w:w="304" w:type="pct"/>
            <w:tcBorders>
              <w:top w:val="single" w:color="auto" w:sz="10" w:space="0"/>
              <w:left w:val="single" w:color="auto" w:sz="10" w:space="0"/>
              <w:bottom w:val="single" w:color="auto" w:sz="10" w:space="0"/>
              <w:right w:val="single" w:color="auto" w:sz="10" w:space="0"/>
              <w:insideV w:val="single" w:sz="10" w:space="0"/>
            </w:tcBorders>
            <w:vAlign w:val="center"/>
          </w:tcPr>
          <w:p w14:paraId="091373BB">
            <w:pPr>
              <w:snapToGrid w:val="0"/>
              <w:jc w:val="center"/>
            </w:pPr>
            <w:r>
              <w:rPr>
                <w:rFonts w:ascii="宋体" w:hAnsi="宋体" w:eastAsia="宋体"/>
                <w:sz w:val="16"/>
              </w:rPr>
              <w:t>一级指标</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6DF85C8A">
            <w:pPr>
              <w:snapToGrid w:val="0"/>
              <w:jc w:val="center"/>
            </w:pPr>
            <w:r>
              <w:rPr>
                <w:rFonts w:ascii="宋体" w:hAnsi="宋体" w:eastAsia="宋体"/>
                <w:sz w:val="16"/>
              </w:rPr>
              <w:t>二级指标</w:t>
            </w: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F4635">
            <w:pPr>
              <w:snapToGrid w:val="0"/>
              <w:jc w:val="center"/>
            </w:pPr>
            <w:r>
              <w:rPr>
                <w:rFonts w:ascii="宋体" w:hAnsi="宋体" w:eastAsia="宋体"/>
                <w:sz w:val="16"/>
              </w:rPr>
              <w:t>三级指标</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47A4333A">
            <w:pPr>
              <w:snapToGrid w:val="0"/>
              <w:jc w:val="center"/>
            </w:pPr>
            <w:r>
              <w:rPr>
                <w:rFonts w:ascii="宋体" w:hAnsi="宋体" w:eastAsia="宋体"/>
                <w:sz w:val="16"/>
              </w:rPr>
              <w:t>预期指标值</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0EEC78D1">
            <w:pPr>
              <w:snapToGrid w:val="0"/>
              <w:jc w:val="center"/>
            </w:pPr>
            <w:r>
              <w:rPr>
                <w:rFonts w:ascii="宋体" w:hAnsi="宋体" w:eastAsia="宋体"/>
                <w:sz w:val="16"/>
              </w:rPr>
              <w:t>指标值设定依据</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189413CB">
            <w:pPr>
              <w:snapToGrid w:val="0"/>
              <w:jc w:val="center"/>
            </w:pPr>
            <w:r>
              <w:rPr>
                <w:rFonts w:ascii="宋体" w:hAnsi="宋体" w:eastAsia="宋体"/>
                <w:sz w:val="16"/>
              </w:rPr>
              <w:t>分值权重</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6E5B5031">
            <w:pPr>
              <w:snapToGrid w:val="0"/>
              <w:jc w:val="center"/>
            </w:pPr>
            <w:r>
              <w:rPr>
                <w:rFonts w:ascii="宋体" w:hAnsi="宋体" w:eastAsia="宋体"/>
                <w:sz w:val="16"/>
              </w:rPr>
              <w:t>实际完成指标值</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C530355">
            <w:pPr>
              <w:snapToGrid w:val="0"/>
              <w:jc w:val="center"/>
            </w:pPr>
            <w:r>
              <w:rPr>
                <w:rFonts w:ascii="宋体" w:hAnsi="宋体" w:eastAsia="宋体"/>
                <w:sz w:val="16"/>
              </w:rPr>
              <w:t>得分</w:t>
            </w:r>
          </w:p>
        </w:tc>
      </w:tr>
      <w:tr w14:paraId="67A06987">
        <w:tblPrEx>
          <w:tblCellMar>
            <w:top w:w="32" w:type="dxa"/>
            <w:left w:w="64" w:type="dxa"/>
            <w:bottom w:w="32" w:type="dxa"/>
            <w:right w:w="64" w:type="dxa"/>
          </w:tblCellMar>
        </w:tblPrEx>
        <w:trPr>
          <w:trHeight w:val="0" w:hRule="atLeast"/>
          <w:jc w:val="center"/>
        </w:trPr>
        <w:tc>
          <w:tcPr>
            <w:tcW w:w="304"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C92DCF">
            <w:pPr>
              <w:snapToGrid w:val="0"/>
              <w:jc w:val="center"/>
            </w:pPr>
            <w:r>
              <w:rPr>
                <w:rFonts w:ascii="宋体" w:hAnsi="宋体" w:eastAsia="宋体"/>
                <w:sz w:val="16"/>
              </w:rPr>
              <w:t>运行成本</w:t>
            </w:r>
          </w:p>
        </w:tc>
        <w:tc>
          <w:tcPr>
            <w:tcW w:w="576"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985DD4">
            <w:pPr>
              <w:snapToGrid w:val="0"/>
              <w:jc w:val="center"/>
            </w:pPr>
            <w:r>
              <w:rPr>
                <w:rFonts w:ascii="宋体" w:hAnsi="宋体" w:eastAsia="宋体"/>
                <w:sz w:val="16"/>
              </w:rPr>
              <w:t>成本指标</w:t>
            </w: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1D0561">
            <w:pPr>
              <w:snapToGrid w:val="0"/>
              <w:jc w:val="center"/>
            </w:pPr>
            <w:r>
              <w:rPr>
                <w:rFonts w:ascii="宋体" w:hAnsi="宋体" w:eastAsia="宋体"/>
                <w:sz w:val="16"/>
              </w:rPr>
              <w:t>基本经费成本控制</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7F107A40">
            <w:pPr>
              <w:snapToGrid w:val="0"/>
              <w:jc w:val="center"/>
            </w:pPr>
            <w:r>
              <w:rPr>
                <w:rFonts w:ascii="宋体" w:hAnsi="宋体" w:eastAsia="宋体"/>
                <w:sz w:val="16"/>
              </w:rPr>
              <w:t>&lt;=884.59万元</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344359FD">
            <w:pPr>
              <w:snapToGrid w:val="0"/>
              <w:jc w:val="center"/>
            </w:pPr>
            <w:r>
              <w:rPr>
                <w:rFonts w:ascii="宋体" w:hAnsi="宋体" w:eastAsia="宋体"/>
                <w:sz w:val="16"/>
              </w:rPr>
              <w:t>2024年预算公开</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6321F7AE">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2C7D968F">
            <w:pPr>
              <w:snapToGrid w:val="0"/>
              <w:jc w:val="center"/>
            </w:pPr>
            <w:r>
              <w:rPr>
                <w:rFonts w:ascii="宋体" w:hAnsi="宋体" w:eastAsia="宋体"/>
                <w:sz w:val="16"/>
              </w:rPr>
              <w:t>837.37万元</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0EBE33E5">
            <w:pPr>
              <w:snapToGrid w:val="0"/>
              <w:jc w:val="center"/>
            </w:pPr>
            <w:r>
              <w:rPr>
                <w:rFonts w:ascii="宋体" w:hAnsi="宋体" w:eastAsia="宋体"/>
                <w:sz w:val="16"/>
              </w:rPr>
              <w:t>9.47</w:t>
            </w:r>
          </w:p>
        </w:tc>
      </w:tr>
      <w:tr w14:paraId="2801B974">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0469BF27">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0038D67E">
            <w:pPr>
              <w:snapToGrid w:val="0"/>
            </w:pP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5307E7">
            <w:pPr>
              <w:snapToGrid w:val="0"/>
              <w:jc w:val="center"/>
            </w:pPr>
            <w:r>
              <w:rPr>
                <w:rFonts w:ascii="宋体" w:hAnsi="宋体" w:eastAsia="宋体"/>
                <w:sz w:val="16"/>
              </w:rPr>
              <w:t>项目经费成本控制</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4F2B6C7C">
            <w:pPr>
              <w:snapToGrid w:val="0"/>
              <w:jc w:val="center"/>
            </w:pPr>
            <w:r>
              <w:rPr>
                <w:rFonts w:ascii="宋体" w:hAnsi="宋体" w:eastAsia="宋体"/>
                <w:sz w:val="16"/>
              </w:rPr>
              <w:t>&lt;=160.15万元</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67A0A961">
            <w:pPr>
              <w:snapToGrid w:val="0"/>
              <w:jc w:val="center"/>
            </w:pPr>
            <w:r>
              <w:rPr>
                <w:rFonts w:ascii="宋体" w:hAnsi="宋体" w:eastAsia="宋体"/>
                <w:sz w:val="16"/>
              </w:rPr>
              <w:t>2024年预算公开</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24149FEE">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56DA29BF">
            <w:pPr>
              <w:snapToGrid w:val="0"/>
              <w:jc w:val="center"/>
            </w:pPr>
            <w:r>
              <w:rPr>
                <w:rFonts w:ascii="宋体" w:hAnsi="宋体" w:eastAsia="宋体"/>
                <w:sz w:val="16"/>
              </w:rPr>
              <w:t>128.27万元</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52E60EBB">
            <w:pPr>
              <w:snapToGrid w:val="0"/>
              <w:jc w:val="center"/>
            </w:pPr>
            <w:r>
              <w:rPr>
                <w:rFonts w:ascii="宋体" w:hAnsi="宋体" w:eastAsia="宋体"/>
                <w:sz w:val="16"/>
              </w:rPr>
              <w:t>8.01</w:t>
            </w:r>
          </w:p>
        </w:tc>
      </w:tr>
      <w:tr w14:paraId="31D5F0DE">
        <w:tblPrEx>
          <w:tblCellMar>
            <w:top w:w="32" w:type="dxa"/>
            <w:left w:w="64" w:type="dxa"/>
            <w:bottom w:w="32" w:type="dxa"/>
            <w:right w:w="64" w:type="dxa"/>
          </w:tblCellMar>
        </w:tblPrEx>
        <w:trPr>
          <w:trHeight w:val="0" w:hRule="atLeast"/>
          <w:jc w:val="center"/>
        </w:trPr>
        <w:tc>
          <w:tcPr>
            <w:tcW w:w="304"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B0E4B6">
            <w:pPr>
              <w:snapToGrid w:val="0"/>
              <w:jc w:val="center"/>
            </w:pPr>
            <w:r>
              <w:rPr>
                <w:rFonts w:ascii="宋体" w:hAnsi="宋体" w:eastAsia="宋体"/>
                <w:sz w:val="16"/>
              </w:rPr>
              <w:t>履职效能</w:t>
            </w:r>
          </w:p>
        </w:tc>
        <w:tc>
          <w:tcPr>
            <w:tcW w:w="576" w:type="pct"/>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5579C0">
            <w:pPr>
              <w:snapToGrid w:val="0"/>
              <w:jc w:val="center"/>
            </w:pPr>
            <w:r>
              <w:rPr>
                <w:rFonts w:ascii="宋体" w:hAnsi="宋体" w:eastAsia="宋体"/>
                <w:sz w:val="16"/>
              </w:rPr>
              <w:t>数量指标</w:t>
            </w: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B553AD">
            <w:pPr>
              <w:snapToGrid w:val="0"/>
              <w:jc w:val="center"/>
            </w:pPr>
            <w:r>
              <w:rPr>
                <w:rFonts w:ascii="宋体" w:hAnsi="宋体" w:eastAsia="宋体"/>
                <w:sz w:val="16"/>
              </w:rPr>
              <w:t>保育员在年底取得MHK三级乙等证书</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019B1CF2">
            <w:pPr>
              <w:snapToGrid w:val="0"/>
              <w:jc w:val="center"/>
            </w:pPr>
            <w:r>
              <w:rPr>
                <w:rFonts w:ascii="宋体" w:hAnsi="宋体" w:eastAsia="宋体"/>
                <w:sz w:val="16"/>
              </w:rPr>
              <w:t>&gt;=50%百分之</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5DA3918E">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475F60B8">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2725FD6A">
            <w:pPr>
              <w:snapToGrid w:val="0"/>
              <w:jc w:val="center"/>
            </w:pPr>
            <w:r>
              <w:rPr>
                <w:rFonts w:ascii="宋体" w:hAnsi="宋体" w:eastAsia="宋体"/>
                <w:sz w:val="16"/>
              </w:rPr>
              <w:t>53.85%</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24F806C6">
            <w:pPr>
              <w:snapToGrid w:val="0"/>
              <w:jc w:val="center"/>
            </w:pPr>
            <w:r>
              <w:rPr>
                <w:rFonts w:ascii="宋体" w:hAnsi="宋体" w:eastAsia="宋体"/>
                <w:sz w:val="16"/>
              </w:rPr>
              <w:t>10</w:t>
            </w:r>
          </w:p>
        </w:tc>
      </w:tr>
      <w:tr w14:paraId="71930751">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734DCD48">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4715209E">
            <w:pPr>
              <w:snapToGrid w:val="0"/>
            </w:pP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F7B70A">
            <w:pPr>
              <w:snapToGrid w:val="0"/>
              <w:jc w:val="center"/>
            </w:pPr>
            <w:r>
              <w:rPr>
                <w:rFonts w:ascii="宋体" w:hAnsi="宋体" w:eastAsia="宋体"/>
                <w:sz w:val="16"/>
              </w:rPr>
              <w:t>在园教师取得普通话证书</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4CE3867B">
            <w:pPr>
              <w:snapToGrid w:val="0"/>
              <w:jc w:val="center"/>
            </w:pPr>
            <w:r>
              <w:rPr>
                <w:rFonts w:ascii="宋体" w:hAnsi="宋体" w:eastAsia="宋体"/>
                <w:sz w:val="16"/>
              </w:rPr>
              <w:t>&gt;=90%</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55545EDF">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19F00F93">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4DF8C02D">
            <w:pPr>
              <w:snapToGrid w:val="0"/>
              <w:jc w:val="center"/>
            </w:pPr>
            <w:r>
              <w:rPr>
                <w:rFonts w:ascii="宋体" w:hAnsi="宋体" w:eastAsia="宋体"/>
                <w:sz w:val="16"/>
              </w:rPr>
              <w:t>88.46%</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7FCE1968">
            <w:pPr>
              <w:snapToGrid w:val="0"/>
              <w:jc w:val="center"/>
            </w:pPr>
            <w:r>
              <w:rPr>
                <w:rFonts w:ascii="宋体" w:hAnsi="宋体" w:eastAsia="宋体"/>
                <w:sz w:val="16"/>
              </w:rPr>
              <w:t>9.85</w:t>
            </w:r>
          </w:p>
        </w:tc>
      </w:tr>
      <w:tr w14:paraId="4080DFAF">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29A463D1">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2BF330A3">
            <w:pPr>
              <w:snapToGrid w:val="0"/>
            </w:pP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E8E8D4">
            <w:pPr>
              <w:snapToGrid w:val="0"/>
              <w:jc w:val="center"/>
            </w:pPr>
            <w:r>
              <w:rPr>
                <w:rFonts w:ascii="宋体" w:hAnsi="宋体" w:eastAsia="宋体"/>
                <w:sz w:val="16"/>
              </w:rPr>
              <w:t>本年度教育教学工作考核评估</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74F9A008">
            <w:pPr>
              <w:snapToGrid w:val="0"/>
              <w:jc w:val="center"/>
            </w:pPr>
            <w:r>
              <w:rPr>
                <w:rFonts w:ascii="宋体" w:hAnsi="宋体" w:eastAsia="宋体"/>
                <w:sz w:val="16"/>
              </w:rPr>
              <w:t>&gt;=12次</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03C3A85D">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7741F813">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5C4355B5">
            <w:pPr>
              <w:snapToGrid w:val="0"/>
              <w:jc w:val="center"/>
            </w:pPr>
            <w:r>
              <w:rPr>
                <w:rFonts w:ascii="宋体" w:hAnsi="宋体" w:eastAsia="宋体"/>
                <w:sz w:val="16"/>
              </w:rPr>
              <w:t>12次</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12B1E80D">
            <w:pPr>
              <w:snapToGrid w:val="0"/>
              <w:jc w:val="center"/>
            </w:pPr>
            <w:r>
              <w:rPr>
                <w:rFonts w:ascii="宋体" w:hAnsi="宋体" w:eastAsia="宋体"/>
                <w:sz w:val="16"/>
              </w:rPr>
              <w:t>10</w:t>
            </w:r>
          </w:p>
        </w:tc>
      </w:tr>
      <w:tr w14:paraId="7201858C">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60523F8B">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3A49752D">
            <w:pPr>
              <w:snapToGrid w:val="0"/>
            </w:pP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5736BE">
            <w:pPr>
              <w:snapToGrid w:val="0"/>
              <w:jc w:val="center"/>
            </w:pPr>
            <w:r>
              <w:rPr>
                <w:rFonts w:ascii="宋体" w:hAnsi="宋体" w:eastAsia="宋体"/>
                <w:sz w:val="16"/>
              </w:rPr>
              <w:t>营养改善学生实名制信息登记并公示</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2937B5AC">
            <w:pPr>
              <w:snapToGrid w:val="0"/>
              <w:jc w:val="center"/>
            </w:pPr>
            <w:r>
              <w:rPr>
                <w:rFonts w:ascii="宋体" w:hAnsi="宋体" w:eastAsia="宋体"/>
                <w:sz w:val="16"/>
              </w:rPr>
              <w:t>=100%</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13269933">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008D5E02">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726342E7">
            <w:pPr>
              <w:snapToGrid w:val="0"/>
              <w:jc w:val="center"/>
            </w:pPr>
            <w:r>
              <w:rPr>
                <w:rFonts w:ascii="宋体" w:hAnsi="宋体" w:eastAsia="宋体"/>
                <w:sz w:val="16"/>
              </w:rPr>
              <w:t>100%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4C469990">
            <w:pPr>
              <w:snapToGrid w:val="0"/>
              <w:jc w:val="center"/>
            </w:pPr>
            <w:r>
              <w:rPr>
                <w:rFonts w:ascii="宋体" w:hAnsi="宋体" w:eastAsia="宋体"/>
                <w:sz w:val="16"/>
              </w:rPr>
              <w:t>10</w:t>
            </w:r>
          </w:p>
        </w:tc>
      </w:tr>
      <w:tr w14:paraId="0639030E">
        <w:tblPrEx>
          <w:tblCellMar>
            <w:top w:w="32" w:type="dxa"/>
            <w:left w:w="64" w:type="dxa"/>
            <w:bottom w:w="32" w:type="dxa"/>
            <w:right w:w="64" w:type="dxa"/>
          </w:tblCellMar>
        </w:tblPrEx>
        <w:trPr>
          <w:trHeight w:val="0" w:hRule="atLeast"/>
          <w:jc w:val="center"/>
        </w:trPr>
        <w:tc>
          <w:tcPr>
            <w:tcW w:w="304" w:type="pct"/>
            <w:vMerge w:val="continue"/>
            <w:tcBorders>
              <w:top w:val="single" w:color="auto" w:sz="10" w:space="0"/>
              <w:left w:val="single" w:color="auto" w:sz="10" w:space="0"/>
              <w:bottom w:val="single" w:color="auto" w:sz="10" w:space="0"/>
              <w:right w:val="single" w:color="auto" w:sz="10" w:space="0"/>
              <w:insideV w:val="single" w:sz="10" w:space="0"/>
            </w:tcBorders>
          </w:tcPr>
          <w:p w14:paraId="69F52B06">
            <w:pPr>
              <w:snapToGrid w:val="0"/>
            </w:pPr>
          </w:p>
        </w:tc>
        <w:tc>
          <w:tcPr>
            <w:tcW w:w="576" w:type="pct"/>
            <w:vMerge w:val="continue"/>
            <w:tcBorders>
              <w:top w:val="single" w:color="auto" w:sz="10" w:space="0"/>
              <w:left w:val="single" w:color="auto" w:sz="10" w:space="0"/>
              <w:bottom w:val="single" w:color="auto" w:sz="10" w:space="0"/>
              <w:right w:val="single" w:color="auto" w:sz="10" w:space="0"/>
              <w:insideV w:val="single" w:sz="10" w:space="0"/>
            </w:tcBorders>
          </w:tcPr>
          <w:p w14:paraId="6BEAA849">
            <w:pPr>
              <w:snapToGrid w:val="0"/>
            </w:pP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D659FC">
            <w:pPr>
              <w:snapToGrid w:val="0"/>
              <w:jc w:val="center"/>
            </w:pPr>
            <w:r>
              <w:rPr>
                <w:rFonts w:ascii="宋体" w:hAnsi="宋体" w:eastAsia="宋体"/>
                <w:sz w:val="16"/>
              </w:rPr>
              <w:t>普惠性幼儿园工作完成率</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71B744FF">
            <w:pPr>
              <w:snapToGrid w:val="0"/>
              <w:jc w:val="center"/>
            </w:pPr>
            <w:r>
              <w:rPr>
                <w:rFonts w:ascii="宋体" w:hAnsi="宋体" w:eastAsia="宋体"/>
                <w:sz w:val="16"/>
              </w:rPr>
              <w:t>=100%</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3C4CABAC">
            <w:pPr>
              <w:snapToGrid w:val="0"/>
              <w:jc w:val="center"/>
            </w:pPr>
            <w:r>
              <w:rPr>
                <w:rFonts w:ascii="宋体" w:hAnsi="宋体" w:eastAsia="宋体"/>
                <w:sz w:val="16"/>
              </w:rPr>
              <w:t>2023年工作计划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7BC49114">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09A9DB5A">
            <w:pPr>
              <w:snapToGrid w:val="0"/>
              <w:jc w:val="center"/>
            </w:pPr>
            <w:r>
              <w:rPr>
                <w:rFonts w:ascii="宋体" w:hAnsi="宋体" w:eastAsia="宋体"/>
                <w:sz w:val="16"/>
              </w:rPr>
              <w:t>100%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685D4C3E">
            <w:pPr>
              <w:snapToGrid w:val="0"/>
              <w:jc w:val="center"/>
            </w:pPr>
            <w:r>
              <w:rPr>
                <w:rFonts w:ascii="宋体" w:hAnsi="宋体" w:eastAsia="宋体"/>
                <w:sz w:val="16"/>
              </w:rPr>
              <w:t>10</w:t>
            </w:r>
          </w:p>
        </w:tc>
      </w:tr>
      <w:tr w14:paraId="7A6AF9E0">
        <w:tblPrEx>
          <w:tblCellMar>
            <w:top w:w="32" w:type="dxa"/>
            <w:left w:w="64" w:type="dxa"/>
            <w:bottom w:w="32" w:type="dxa"/>
            <w:right w:w="64" w:type="dxa"/>
          </w:tblCellMar>
        </w:tblPrEx>
        <w:trPr>
          <w:trHeight w:val="0" w:hRule="atLeast"/>
          <w:jc w:val="center"/>
        </w:trPr>
        <w:tc>
          <w:tcPr>
            <w:tcW w:w="304" w:type="pct"/>
            <w:tcBorders>
              <w:top w:val="single" w:color="auto" w:sz="10" w:space="0"/>
              <w:left w:val="single" w:color="auto" w:sz="10" w:space="0"/>
              <w:bottom w:val="single" w:color="auto" w:sz="10" w:space="0"/>
              <w:right w:val="single" w:color="auto" w:sz="10" w:space="0"/>
              <w:insideV w:val="single" w:sz="10" w:space="0"/>
            </w:tcBorders>
            <w:vAlign w:val="center"/>
          </w:tcPr>
          <w:p w14:paraId="1141EAF1">
            <w:pPr>
              <w:snapToGrid w:val="0"/>
              <w:jc w:val="center"/>
            </w:pPr>
            <w:r>
              <w:rPr>
                <w:rFonts w:ascii="宋体" w:hAnsi="宋体" w:eastAsia="宋体"/>
                <w:sz w:val="16"/>
              </w:rPr>
              <w:t>社会效益</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11EBFC14">
            <w:pPr>
              <w:snapToGrid w:val="0"/>
              <w:jc w:val="center"/>
            </w:pPr>
            <w:r>
              <w:rPr>
                <w:rFonts w:ascii="宋体" w:hAnsi="宋体" w:eastAsia="宋体"/>
                <w:sz w:val="16"/>
              </w:rPr>
              <w:t>质量指标</w:t>
            </w: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F624B3">
            <w:pPr>
              <w:snapToGrid w:val="0"/>
              <w:jc w:val="center"/>
            </w:pPr>
            <w:r>
              <w:rPr>
                <w:rFonts w:ascii="宋体" w:hAnsi="宋体" w:eastAsia="宋体"/>
                <w:sz w:val="16"/>
              </w:rPr>
              <w:t>辖区内适龄儿童入学率</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6C3BD2F0">
            <w:pPr>
              <w:snapToGrid w:val="0"/>
              <w:jc w:val="center"/>
            </w:pPr>
            <w:r>
              <w:rPr>
                <w:rFonts w:ascii="宋体" w:hAnsi="宋体" w:eastAsia="宋体"/>
                <w:sz w:val="16"/>
              </w:rPr>
              <w:t>=100%</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0A6CE27E">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31A2E4CC">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14FC4DDA">
            <w:pPr>
              <w:snapToGrid w:val="0"/>
              <w:jc w:val="center"/>
            </w:pPr>
            <w:r>
              <w:rPr>
                <w:rFonts w:ascii="宋体" w:hAnsi="宋体" w:eastAsia="宋体"/>
                <w:sz w:val="16"/>
              </w:rPr>
              <w:t>100%</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08594FE2">
            <w:pPr>
              <w:snapToGrid w:val="0"/>
              <w:jc w:val="center"/>
            </w:pPr>
            <w:r>
              <w:rPr>
                <w:rFonts w:ascii="宋体" w:hAnsi="宋体" w:eastAsia="宋体"/>
                <w:sz w:val="16"/>
              </w:rPr>
              <w:t>10</w:t>
            </w:r>
          </w:p>
        </w:tc>
      </w:tr>
      <w:tr w14:paraId="6C63DE3F">
        <w:tblPrEx>
          <w:tblCellMar>
            <w:top w:w="32" w:type="dxa"/>
            <w:left w:w="64" w:type="dxa"/>
            <w:bottom w:w="32" w:type="dxa"/>
            <w:right w:w="64" w:type="dxa"/>
          </w:tblCellMar>
        </w:tblPrEx>
        <w:trPr>
          <w:trHeight w:val="0" w:hRule="atLeast"/>
          <w:jc w:val="center"/>
        </w:trPr>
        <w:tc>
          <w:tcPr>
            <w:tcW w:w="304" w:type="pct"/>
            <w:tcBorders>
              <w:top w:val="single" w:color="auto" w:sz="10" w:space="0"/>
              <w:left w:val="single" w:color="auto" w:sz="10" w:space="0"/>
              <w:bottom w:val="single" w:color="auto" w:sz="10" w:space="0"/>
              <w:right w:val="single" w:color="auto" w:sz="10" w:space="0"/>
              <w:insideV w:val="single" w:sz="10" w:space="0"/>
            </w:tcBorders>
            <w:vAlign w:val="center"/>
          </w:tcPr>
          <w:p w14:paraId="1A3B435E">
            <w:pPr>
              <w:snapToGrid w:val="0"/>
              <w:jc w:val="center"/>
            </w:pPr>
            <w:r>
              <w:rPr>
                <w:rFonts w:ascii="宋体" w:hAnsi="宋体" w:eastAsia="宋体"/>
                <w:sz w:val="16"/>
              </w:rPr>
              <w:t>服务对象满意度</w:t>
            </w:r>
          </w:p>
        </w:tc>
        <w:tc>
          <w:tcPr>
            <w:tcW w:w="576" w:type="pct"/>
            <w:tcBorders>
              <w:top w:val="single" w:color="auto" w:sz="10" w:space="0"/>
              <w:left w:val="single" w:color="auto" w:sz="10" w:space="0"/>
              <w:bottom w:val="single" w:color="auto" w:sz="10" w:space="0"/>
              <w:right w:val="single" w:color="auto" w:sz="10" w:space="0"/>
              <w:insideV w:val="single" w:sz="10" w:space="0"/>
            </w:tcBorders>
            <w:vAlign w:val="center"/>
          </w:tcPr>
          <w:p w14:paraId="2FA823CD">
            <w:pPr>
              <w:snapToGrid w:val="0"/>
              <w:jc w:val="center"/>
            </w:pPr>
            <w:r>
              <w:rPr>
                <w:rFonts w:ascii="宋体" w:hAnsi="宋体" w:eastAsia="宋体"/>
                <w:sz w:val="16"/>
              </w:rPr>
              <w:t>满意度指标</w:t>
            </w:r>
          </w:p>
        </w:tc>
        <w:tc>
          <w:tcPr>
            <w:tcW w:w="872" w:type="pct"/>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73DF57">
            <w:pPr>
              <w:snapToGrid w:val="0"/>
              <w:jc w:val="center"/>
            </w:pPr>
            <w:r>
              <w:rPr>
                <w:rFonts w:ascii="宋体" w:hAnsi="宋体" w:eastAsia="宋体"/>
                <w:sz w:val="16"/>
              </w:rPr>
              <w:t>学生及家长满意度</w:t>
            </w:r>
          </w:p>
        </w:tc>
        <w:tc>
          <w:tcPr>
            <w:tcW w:w="809" w:type="pct"/>
            <w:tcBorders>
              <w:top w:val="single" w:color="auto" w:sz="10" w:space="0"/>
              <w:left w:val="single" w:color="auto" w:sz="10" w:space="0"/>
              <w:bottom w:val="single" w:color="auto" w:sz="10" w:space="0"/>
              <w:right w:val="single" w:color="auto" w:sz="10" w:space="0"/>
              <w:insideV w:val="single" w:sz="10" w:space="0"/>
            </w:tcBorders>
            <w:vAlign w:val="center"/>
          </w:tcPr>
          <w:p w14:paraId="583CC20E">
            <w:pPr>
              <w:snapToGrid w:val="0"/>
              <w:jc w:val="center"/>
            </w:pPr>
            <w:r>
              <w:rPr>
                <w:rFonts w:ascii="宋体" w:hAnsi="宋体" w:eastAsia="宋体"/>
                <w:sz w:val="16"/>
              </w:rPr>
              <w:t>&gt;=95%</w:t>
            </w:r>
          </w:p>
        </w:tc>
        <w:tc>
          <w:tcPr>
            <w:tcW w:w="790" w:type="pct"/>
            <w:tcBorders>
              <w:top w:val="single" w:color="auto" w:sz="10" w:space="0"/>
              <w:left w:val="single" w:color="auto" w:sz="10" w:space="0"/>
              <w:bottom w:val="single" w:color="auto" w:sz="10" w:space="0"/>
              <w:right w:val="single" w:color="auto" w:sz="10" w:space="0"/>
              <w:insideV w:val="single" w:sz="10" w:space="0"/>
            </w:tcBorders>
            <w:vAlign w:val="center"/>
          </w:tcPr>
          <w:p w14:paraId="6F97C590">
            <w:pPr>
              <w:snapToGrid w:val="0"/>
              <w:jc w:val="center"/>
            </w:pPr>
            <w:r>
              <w:rPr>
                <w:rFonts w:ascii="宋体" w:hAnsi="宋体" w:eastAsia="宋体"/>
                <w:sz w:val="16"/>
              </w:rPr>
              <w:t>2024年工作计划</w:t>
            </w:r>
          </w:p>
        </w:tc>
        <w:tc>
          <w:tcPr>
            <w:tcW w:w="434" w:type="pct"/>
            <w:tcBorders>
              <w:top w:val="single" w:color="auto" w:sz="10" w:space="0"/>
              <w:left w:val="single" w:color="auto" w:sz="10" w:space="0"/>
              <w:bottom w:val="single" w:color="auto" w:sz="10" w:space="0"/>
              <w:right w:val="single" w:color="auto" w:sz="10" w:space="0"/>
              <w:insideV w:val="single" w:sz="10" w:space="0"/>
            </w:tcBorders>
            <w:vAlign w:val="center"/>
          </w:tcPr>
          <w:p w14:paraId="52B27B9F">
            <w:pPr>
              <w:snapToGrid w:val="0"/>
              <w:jc w:val="center"/>
            </w:pPr>
            <w:r>
              <w:rPr>
                <w:rFonts w:ascii="宋体" w:hAnsi="宋体" w:eastAsia="宋体"/>
                <w:sz w:val="16"/>
              </w:rPr>
              <w:t>10</w:t>
            </w:r>
          </w:p>
        </w:tc>
        <w:tc>
          <w:tcPr>
            <w:tcW w:w="814" w:type="pct"/>
            <w:tcBorders>
              <w:top w:val="single" w:color="auto" w:sz="10" w:space="0"/>
              <w:left w:val="single" w:color="auto" w:sz="10" w:space="0"/>
              <w:bottom w:val="single" w:color="auto" w:sz="10" w:space="0"/>
              <w:right w:val="single" w:color="auto" w:sz="10" w:space="0"/>
              <w:insideV w:val="single" w:sz="10" w:space="0"/>
            </w:tcBorders>
            <w:vAlign w:val="center"/>
          </w:tcPr>
          <w:p w14:paraId="4E1C8328">
            <w:pPr>
              <w:snapToGrid w:val="0"/>
              <w:jc w:val="center"/>
            </w:pPr>
            <w:r>
              <w:rPr>
                <w:rFonts w:ascii="宋体" w:hAnsi="宋体" w:eastAsia="宋体"/>
                <w:sz w:val="16"/>
              </w:rPr>
              <w:t>98.16%</w:t>
            </w:r>
          </w:p>
        </w:tc>
        <w:tc>
          <w:tcPr>
            <w:tcW w:w="397" w:type="pct"/>
            <w:tcBorders>
              <w:top w:val="single" w:color="auto" w:sz="10" w:space="0"/>
              <w:left w:val="single" w:color="auto" w:sz="10" w:space="0"/>
              <w:bottom w:val="single" w:color="auto" w:sz="10" w:space="0"/>
              <w:right w:val="single" w:color="auto" w:sz="10" w:space="0"/>
              <w:insideV w:val="single" w:sz="10" w:space="0"/>
            </w:tcBorders>
            <w:vAlign w:val="center"/>
          </w:tcPr>
          <w:p w14:paraId="0F8C582B">
            <w:pPr>
              <w:snapToGrid w:val="0"/>
              <w:jc w:val="center"/>
            </w:pPr>
            <w:r>
              <w:rPr>
                <w:rFonts w:ascii="宋体" w:hAnsi="宋体" w:eastAsia="宋体"/>
                <w:sz w:val="16"/>
              </w:rPr>
              <w:t>10</w:t>
            </w:r>
          </w:p>
        </w:tc>
      </w:tr>
    </w:tbl>
    <w:p w14:paraId="59010386">
      <w:r>
        <w:br w:type="page"/>
      </w:r>
    </w:p>
    <w:p w14:paraId="267006FA">
      <w:pPr>
        <w:spacing w:line="640" w:lineRule="exact"/>
        <w:ind w:firstLine="640"/>
        <w:jc w:val="both"/>
        <w:outlineLvl w:val="2"/>
      </w:pPr>
      <w:r>
        <w:rPr>
          <w:rFonts w:ascii="黑体" w:hAnsi="黑体" w:eastAsia="黑体"/>
          <w:sz w:val="32"/>
        </w:rPr>
        <w:t>十二、其他需说明的事项</w:t>
      </w:r>
    </w:p>
    <w:p w14:paraId="370F773D">
      <w:pPr>
        <w:spacing w:line="580" w:lineRule="exact"/>
        <w:ind w:firstLine="640"/>
        <w:jc w:val="both"/>
      </w:pPr>
      <w:r>
        <w:rPr>
          <w:rFonts w:ascii="仿宋_GB2312" w:hAnsi="仿宋_GB2312" w:eastAsia="仿宋_GB2312"/>
          <w:b w:val="0"/>
          <w:sz w:val="32"/>
        </w:rPr>
        <w:t>本单位无其他需说明的事项。</w:t>
      </w:r>
    </w:p>
    <w:p w14:paraId="318ED0F1">
      <w:r>
        <w:br w:type="page"/>
      </w:r>
    </w:p>
    <w:p w14:paraId="0649D120">
      <w:pPr>
        <w:spacing w:line="240" w:lineRule="auto"/>
        <w:jc w:val="center"/>
        <w:outlineLvl w:val="1"/>
      </w:pPr>
      <w:r>
        <w:rPr>
          <w:rFonts w:ascii="黑体" w:hAnsi="黑体" w:eastAsia="黑体"/>
          <w:sz w:val="32"/>
        </w:rPr>
        <w:t>第三部分 专业名词解释</w:t>
      </w:r>
    </w:p>
    <w:p w14:paraId="6558665E">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6FB980B4">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ADDD459">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509FF571">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4B670F48">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6606C02C">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ACA5F2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AF2EE88">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EB1943E">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60E8317">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5BB56D63">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3DA15C5">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6B334BE">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B70EA6F">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74E0D7FC">
      <w:r>
        <w:br w:type="page"/>
      </w:r>
    </w:p>
    <w:p w14:paraId="148284E2">
      <w:pPr>
        <w:spacing w:line="240" w:lineRule="auto"/>
        <w:jc w:val="center"/>
        <w:outlineLvl w:val="1"/>
      </w:pPr>
      <w:r>
        <w:rPr>
          <w:rFonts w:ascii="黑体" w:hAnsi="黑体" w:eastAsia="黑体"/>
          <w:sz w:val="32"/>
        </w:rPr>
        <w:t>第四部分 部门决算报表（见附表）</w:t>
      </w:r>
    </w:p>
    <w:p w14:paraId="79C86CF8">
      <w:pPr>
        <w:spacing w:line="240" w:lineRule="auto"/>
        <w:ind w:firstLine="640"/>
        <w:jc w:val="both"/>
      </w:pPr>
      <w:r>
        <w:rPr>
          <w:rFonts w:ascii="仿宋_GB2312" w:hAnsi="仿宋_GB2312" w:eastAsia="仿宋_GB2312"/>
          <w:b w:val="0"/>
          <w:sz w:val="32"/>
        </w:rPr>
        <w:t>一、《收入支出决算总表》</w:t>
      </w:r>
    </w:p>
    <w:p w14:paraId="194DE4A6">
      <w:pPr>
        <w:spacing w:line="240" w:lineRule="auto"/>
        <w:ind w:firstLine="640"/>
        <w:jc w:val="both"/>
      </w:pPr>
      <w:r>
        <w:rPr>
          <w:rFonts w:ascii="仿宋_GB2312" w:hAnsi="仿宋_GB2312" w:eastAsia="仿宋_GB2312"/>
          <w:b w:val="0"/>
          <w:sz w:val="32"/>
        </w:rPr>
        <w:t>二、《收入决算表》</w:t>
      </w:r>
    </w:p>
    <w:p w14:paraId="2AD16090">
      <w:pPr>
        <w:spacing w:line="240" w:lineRule="auto"/>
        <w:ind w:firstLine="640"/>
        <w:jc w:val="both"/>
      </w:pPr>
      <w:r>
        <w:rPr>
          <w:rFonts w:ascii="仿宋_GB2312" w:hAnsi="仿宋_GB2312" w:eastAsia="仿宋_GB2312"/>
          <w:b w:val="0"/>
          <w:sz w:val="32"/>
        </w:rPr>
        <w:t>三、《支出决算表》</w:t>
      </w:r>
    </w:p>
    <w:p w14:paraId="12FA5A0D">
      <w:pPr>
        <w:spacing w:line="240" w:lineRule="auto"/>
        <w:ind w:firstLine="640"/>
        <w:jc w:val="both"/>
      </w:pPr>
      <w:r>
        <w:rPr>
          <w:rFonts w:ascii="仿宋_GB2312" w:hAnsi="仿宋_GB2312" w:eastAsia="仿宋_GB2312"/>
          <w:b w:val="0"/>
          <w:sz w:val="32"/>
        </w:rPr>
        <w:t>四、《财政拨款收入支出决算总表》</w:t>
      </w:r>
    </w:p>
    <w:p w14:paraId="654028B3">
      <w:pPr>
        <w:spacing w:line="240" w:lineRule="auto"/>
        <w:ind w:firstLine="640"/>
        <w:jc w:val="both"/>
      </w:pPr>
      <w:r>
        <w:rPr>
          <w:rFonts w:ascii="仿宋_GB2312" w:hAnsi="仿宋_GB2312" w:eastAsia="仿宋_GB2312"/>
          <w:b w:val="0"/>
          <w:sz w:val="32"/>
        </w:rPr>
        <w:t>五、《一般公共预算财政拨款支出决算表》</w:t>
      </w:r>
    </w:p>
    <w:p w14:paraId="4DD5E2D8">
      <w:pPr>
        <w:spacing w:line="240" w:lineRule="auto"/>
        <w:ind w:firstLine="640"/>
        <w:jc w:val="both"/>
      </w:pPr>
      <w:r>
        <w:rPr>
          <w:rFonts w:ascii="仿宋_GB2312" w:hAnsi="仿宋_GB2312" w:eastAsia="仿宋_GB2312"/>
          <w:b w:val="0"/>
          <w:sz w:val="32"/>
        </w:rPr>
        <w:t>六、《一般公共预算财政拨款基本支出决算表》</w:t>
      </w:r>
    </w:p>
    <w:p w14:paraId="56E01065">
      <w:pPr>
        <w:spacing w:line="240" w:lineRule="auto"/>
        <w:ind w:firstLine="640"/>
        <w:jc w:val="both"/>
      </w:pPr>
      <w:r>
        <w:rPr>
          <w:rFonts w:ascii="仿宋_GB2312" w:hAnsi="仿宋_GB2312" w:eastAsia="仿宋_GB2312"/>
          <w:b w:val="0"/>
          <w:sz w:val="32"/>
        </w:rPr>
        <w:t>七、《政府性基金预算财政拨款收入支出决算表》</w:t>
      </w:r>
    </w:p>
    <w:p w14:paraId="028235FE">
      <w:pPr>
        <w:spacing w:line="240" w:lineRule="auto"/>
        <w:ind w:firstLine="640"/>
        <w:jc w:val="both"/>
      </w:pPr>
      <w:r>
        <w:rPr>
          <w:rFonts w:ascii="仿宋_GB2312" w:hAnsi="仿宋_GB2312" w:eastAsia="仿宋_GB2312"/>
          <w:b w:val="0"/>
          <w:sz w:val="32"/>
        </w:rPr>
        <w:t>八、《国有资本经营预算财政拨款收入支出决算表》</w:t>
      </w:r>
    </w:p>
    <w:p w14:paraId="6B7A27D3">
      <w:pPr>
        <w:spacing w:line="240" w:lineRule="auto"/>
        <w:ind w:firstLine="640"/>
        <w:jc w:val="both"/>
      </w:pPr>
      <w:r>
        <w:rPr>
          <w:rFonts w:ascii="仿宋_GB2312" w:hAnsi="仿宋_GB2312" w:eastAsia="仿宋_GB2312"/>
          <w:b w:val="0"/>
          <w:sz w:val="32"/>
        </w:rPr>
        <w:t>九、《财政拨款“三公”经费支出决算表》</w:t>
      </w:r>
    </w:p>
    <w:p w14:paraId="0E44688D">
      <w:pPr>
        <w:spacing w:line="240" w:lineRule="auto"/>
        <w:ind w:firstLine="640"/>
        <w:jc w:val="both"/>
      </w:pPr>
    </w:p>
    <w:p w14:paraId="469F6357">
      <w:pPr>
        <w:spacing w:line="240" w:lineRule="auto"/>
        <w:ind w:firstLine="640"/>
        <w:jc w:val="both"/>
      </w:pPr>
    </w:p>
    <w:p w14:paraId="20973DA2">
      <w:pPr>
        <w:spacing w:line="240" w:lineRule="auto"/>
        <w:ind w:firstLine="640"/>
        <w:jc w:val="both"/>
      </w:pPr>
    </w:p>
    <w:p w14:paraId="630556EF">
      <w:pPr>
        <w:spacing w:line="240" w:lineRule="auto"/>
        <w:ind w:firstLine="640"/>
        <w:jc w:val="both"/>
      </w:pPr>
    </w:p>
    <w:p w14:paraId="1BA88386">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26F4D-FDC3-439F-A041-8A6B0B82B9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77FED97A-A3F8-41E8-AA2F-F3CEB8F87A6B}"/>
  </w:font>
  <w:font w:name="仿宋_GB2312">
    <w:panose1 w:val="02010609030101010101"/>
    <w:charset w:val="86"/>
    <w:family w:val="modern"/>
    <w:pitch w:val="default"/>
    <w:sig w:usb0="00000001" w:usb1="080E0000" w:usb2="00000000" w:usb3="00000000" w:csb0="00040000" w:csb1="00000000"/>
    <w:embedRegular r:id="rId3" w:fontKey="{567984DB-55FA-41DB-A9DB-7222B002A669}"/>
  </w:font>
  <w:font w:name="楷体_GB2312">
    <w:panose1 w:val="02010609030101010101"/>
    <w:charset w:val="86"/>
    <w:family w:val="auto"/>
    <w:pitch w:val="default"/>
    <w:sig w:usb0="00000001" w:usb1="080E0000" w:usb2="00000000" w:usb3="00000000" w:csb0="00040000" w:csb1="00000000"/>
    <w:embedRegular r:id="rId4" w:fontKey="{F7DA31FD-123D-4E44-AE9D-1CF5F6BB498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897A39"/>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7D403EE"/>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1425</Words>
  <Characters>1433</Characters>
  <Lines>0</Lines>
  <Paragraphs>0</Paragraphs>
  <TotalTime>3</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2025-09-04T09:27:33Z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