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2CCBB46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和田县英艾日克乡人民政府2024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决算公开说明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76E506BB">
      <w:r>
        <w:br w:type="page"/>
      </w:r>
    </w:p>
    <w:p w14:paraId="63A43A13">
      <w:pPr>
        <w:spacing w:line="640" w:lineRule="exact"/>
        <w:jc w:val="center"/>
        <w:outlineLvl w:val="1"/>
      </w:pPr>
      <w:r>
        <w:rPr>
          <w:rFonts w:ascii="黑体" w:hAnsi="黑体" w:eastAsia="黑体"/>
          <w:sz w:val="32"/>
        </w:rPr>
        <w:t>第一部分 单位概况</w:t>
      </w:r>
    </w:p>
    <w:p w14:paraId="17AA9513">
      <w:pPr>
        <w:spacing w:line="640" w:lineRule="exact"/>
        <w:ind w:firstLine="640"/>
        <w:jc w:val="both"/>
        <w:outlineLvl w:val="2"/>
      </w:pPr>
      <w:r>
        <w:rPr>
          <w:rFonts w:ascii="黑体" w:hAnsi="黑体" w:eastAsia="黑体"/>
          <w:sz w:val="32"/>
        </w:rPr>
        <w:t>一、主要职能</w:t>
      </w:r>
    </w:p>
    <w:p w14:paraId="0FD6FF02">
      <w:pPr>
        <w:spacing w:line="580" w:lineRule="exact"/>
        <w:ind w:firstLine="640"/>
        <w:jc w:val="both"/>
        <w:rPr>
          <w:rFonts w:hint="eastAsia" w:eastAsia="仿宋_GB2312"/>
          <w:lang w:eastAsia="zh-CN"/>
        </w:rPr>
      </w:pPr>
      <w:r>
        <w:rPr>
          <w:rFonts w:ascii="仿宋_GB2312" w:hAnsi="仿宋_GB2312" w:eastAsia="仿宋_GB2312"/>
          <w:sz w:val="32"/>
        </w:rPr>
        <w:t>1.党委工作职责</w:t>
      </w:r>
      <w:r>
        <w:rPr>
          <w:rFonts w:hint="eastAsia" w:ascii="仿宋_GB2312" w:hAnsi="仿宋_GB2312" w:eastAsia="仿宋_GB2312"/>
          <w:sz w:val="32"/>
          <w:lang w:eastAsia="zh-CN"/>
        </w:rPr>
        <w:t>：</w:t>
      </w:r>
    </w:p>
    <w:p w14:paraId="2D34903E">
      <w:pPr>
        <w:spacing w:line="580" w:lineRule="exact"/>
        <w:ind w:firstLine="640"/>
        <w:jc w:val="both"/>
      </w:pPr>
      <w:r>
        <w:rPr>
          <w:rFonts w:ascii="仿宋_GB2312" w:hAnsi="仿宋_GB2312" w:eastAsia="仿宋_GB2312"/>
          <w:sz w:val="32"/>
        </w:rPr>
        <w:t>（1）在维护社会稳定、长治久安的基础下，保证党的路线、方针、政策的坚决贯彻执行。</w:t>
      </w:r>
    </w:p>
    <w:p w14:paraId="28B3A8E3">
      <w:pPr>
        <w:spacing w:line="580" w:lineRule="exact"/>
        <w:ind w:firstLine="640"/>
        <w:jc w:val="both"/>
      </w:pPr>
      <w:r>
        <w:rPr>
          <w:rFonts w:ascii="仿宋_GB2312" w:hAnsi="仿宋_GB2312" w:eastAsia="仿宋_GB2312"/>
          <w:sz w:val="32"/>
        </w:rPr>
        <w:t>（2）保证监督职能。</w:t>
      </w:r>
    </w:p>
    <w:p w14:paraId="2832AA92">
      <w:pPr>
        <w:spacing w:line="580" w:lineRule="exact"/>
        <w:ind w:firstLine="640"/>
        <w:jc w:val="both"/>
      </w:pPr>
      <w:r>
        <w:rPr>
          <w:rFonts w:ascii="仿宋_GB2312" w:hAnsi="仿宋_GB2312" w:eastAsia="仿宋_GB2312"/>
          <w:sz w:val="32"/>
        </w:rPr>
        <w:t>（3）教育和管理职能。</w:t>
      </w:r>
    </w:p>
    <w:p w14:paraId="77A36CB3">
      <w:pPr>
        <w:spacing w:line="580" w:lineRule="exact"/>
        <w:ind w:firstLine="640"/>
        <w:jc w:val="both"/>
      </w:pPr>
      <w:r>
        <w:rPr>
          <w:rFonts w:ascii="仿宋_GB2312" w:hAnsi="仿宋_GB2312" w:eastAsia="仿宋_GB2312"/>
          <w:sz w:val="32"/>
        </w:rPr>
        <w:t>（4）服从和服务于经济建设的职能。</w:t>
      </w:r>
    </w:p>
    <w:p w14:paraId="6520BD8D">
      <w:pPr>
        <w:spacing w:line="580" w:lineRule="exact"/>
        <w:ind w:firstLine="640"/>
        <w:jc w:val="both"/>
      </w:pPr>
      <w:r>
        <w:rPr>
          <w:rFonts w:ascii="仿宋_GB2312" w:hAnsi="仿宋_GB2312" w:eastAsia="仿宋_GB2312"/>
          <w:sz w:val="32"/>
        </w:rPr>
        <w:t>（5）负责抓好本乡党建工作、群团工作、精神文明建设工作、新闻宣传工作。</w:t>
      </w:r>
    </w:p>
    <w:p w14:paraId="6C1521C5">
      <w:pPr>
        <w:spacing w:line="580" w:lineRule="exact"/>
        <w:ind w:firstLine="640"/>
        <w:jc w:val="both"/>
        <w:rPr>
          <w:rFonts w:hint="eastAsia" w:eastAsia="仿宋_GB2312"/>
          <w:lang w:eastAsia="zh-CN"/>
        </w:rPr>
      </w:pPr>
      <w:r>
        <w:rPr>
          <w:rFonts w:ascii="仿宋_GB2312" w:hAnsi="仿宋_GB2312" w:eastAsia="仿宋_GB2312"/>
          <w:sz w:val="32"/>
        </w:rPr>
        <w:t>2.政府职能</w:t>
      </w:r>
      <w:r>
        <w:rPr>
          <w:rFonts w:hint="eastAsia" w:ascii="仿宋_GB2312" w:hAnsi="仿宋_GB2312" w:eastAsia="仿宋_GB2312"/>
          <w:sz w:val="32"/>
          <w:lang w:eastAsia="zh-CN"/>
        </w:rPr>
        <w:t>：</w:t>
      </w:r>
    </w:p>
    <w:p w14:paraId="039A2B81">
      <w:pPr>
        <w:spacing w:line="580" w:lineRule="exact"/>
        <w:ind w:firstLine="640"/>
        <w:jc w:val="both"/>
      </w:pPr>
      <w:r>
        <w:rPr>
          <w:rFonts w:ascii="仿宋_GB2312" w:hAnsi="仿宋_GB2312" w:eastAsia="仿宋_GB2312"/>
          <w:sz w:val="32"/>
        </w:rPr>
        <w:t>（1）制定和组织实施经济、科技和社会发展计划，制定资源开发技术改造和产业结构调整方案，组织指导好各业生产，搞好商品流通，协调好本乡与外地区的经济交流与合作，抓好招</w:t>
      </w:r>
      <w:r>
        <w:rPr>
          <w:rFonts w:hint="eastAsia" w:ascii="仿宋_GB2312" w:hAnsi="仿宋_GB2312" w:eastAsia="仿宋_GB2312"/>
          <w:sz w:val="32"/>
          <w:lang w:eastAsia="zh-CN"/>
        </w:rPr>
        <w:t>商引资</w:t>
      </w:r>
      <w:r>
        <w:rPr>
          <w:rFonts w:ascii="仿宋_GB2312" w:hAnsi="仿宋_GB2312" w:eastAsia="仿宋_GB2312"/>
          <w:sz w:val="32"/>
        </w:rPr>
        <w:t>，人才引进项目开发，不断培育市场体系，组织经济运行，促进经济发展。</w:t>
      </w:r>
    </w:p>
    <w:p w14:paraId="6E2862FE">
      <w:pPr>
        <w:spacing w:line="580" w:lineRule="exact"/>
        <w:ind w:firstLine="640"/>
        <w:jc w:val="both"/>
      </w:pPr>
      <w:r>
        <w:rPr>
          <w:rFonts w:ascii="仿宋_GB2312" w:hAnsi="仿宋_GB2312" w:eastAsia="仿宋_GB2312"/>
          <w:sz w:val="32"/>
        </w:rPr>
        <w:t>（2）制定并组织实施村镇建设规划，部署重点工程建设，地方道路建设及公共设施，水利设施的管理，负责土地、林木、水等自然资源和</w:t>
      </w:r>
      <w:r>
        <w:rPr>
          <w:rFonts w:hint="eastAsia" w:ascii="仿宋_GB2312" w:hAnsi="仿宋_GB2312" w:eastAsia="仿宋_GB2312"/>
          <w:sz w:val="32"/>
          <w:lang w:eastAsia="zh-CN"/>
        </w:rPr>
        <w:t>生态环境保护</w:t>
      </w:r>
      <w:r>
        <w:rPr>
          <w:rFonts w:ascii="仿宋_GB2312" w:hAnsi="仿宋_GB2312" w:eastAsia="仿宋_GB2312"/>
          <w:sz w:val="32"/>
        </w:rPr>
        <w:t>，做好护林防火工作。</w:t>
      </w:r>
    </w:p>
    <w:p w14:paraId="2401E974">
      <w:pPr>
        <w:spacing w:line="580" w:lineRule="exact"/>
        <w:ind w:firstLine="640"/>
        <w:jc w:val="both"/>
      </w:pPr>
      <w:r>
        <w:rPr>
          <w:rFonts w:ascii="仿宋_GB2312" w:hAnsi="仿宋_GB2312" w:eastAsia="仿宋_GB2312"/>
          <w:sz w:val="32"/>
        </w:rPr>
        <w:t>（3）负责本行政区域内的民政、文化教育、卫生、体育等社会公益事业的综合性工作，维护一切经济单位和个人的正当经济权益，取缔非法经济活动，调解和处理民事纠纷，打击刑事犯罪维护社会稳定。</w:t>
      </w:r>
    </w:p>
    <w:p w14:paraId="591DC763">
      <w:pPr>
        <w:spacing w:line="580" w:lineRule="exact"/>
        <w:ind w:firstLine="640"/>
        <w:jc w:val="both"/>
      </w:pPr>
      <w:r>
        <w:rPr>
          <w:rFonts w:ascii="仿宋_GB2312" w:hAnsi="仿宋_GB2312" w:eastAsia="仿宋_GB2312"/>
          <w:sz w:val="32"/>
        </w:rPr>
        <w:t>（4）按计划组织本级财政收入和地方税的征收，完成国家财政计划，不断培植税源，管好财政资金，增强财政实力。</w:t>
      </w:r>
    </w:p>
    <w:p w14:paraId="47874C2F">
      <w:pPr>
        <w:spacing w:line="580" w:lineRule="exact"/>
        <w:ind w:firstLine="640"/>
        <w:jc w:val="both"/>
      </w:pPr>
      <w:r>
        <w:rPr>
          <w:rFonts w:ascii="仿宋_GB2312" w:hAnsi="仿宋_GB2312" w:eastAsia="仿宋_GB2312"/>
          <w:sz w:val="32"/>
        </w:rPr>
        <w:t>（5）抓好精神文明建设，丰富群众文化生活，提倡移风易俗，反对封建迷信，破除陈规陋习，树立社会主义新风尚。</w:t>
      </w:r>
    </w:p>
    <w:p w14:paraId="1265701F">
      <w:pPr>
        <w:spacing w:line="580" w:lineRule="exact"/>
        <w:ind w:firstLine="640"/>
        <w:jc w:val="both"/>
      </w:pPr>
      <w:r>
        <w:rPr>
          <w:rFonts w:ascii="仿宋_GB2312" w:hAnsi="仿宋_GB2312" w:eastAsia="仿宋_GB2312"/>
          <w:sz w:val="32"/>
        </w:rPr>
        <w:t>（6）完成上级政府交办的</w:t>
      </w:r>
      <w:r>
        <w:rPr>
          <w:rFonts w:hint="eastAsia" w:ascii="仿宋_GB2312" w:hAnsi="仿宋_GB2312" w:eastAsia="仿宋_GB2312"/>
          <w:sz w:val="32"/>
          <w:lang w:eastAsia="zh-CN"/>
        </w:rPr>
        <w:t>其他事项</w:t>
      </w:r>
      <w:r>
        <w:rPr>
          <w:rFonts w:ascii="仿宋_GB2312" w:hAnsi="仿宋_GB2312" w:eastAsia="仿宋_GB2312"/>
          <w:sz w:val="32"/>
        </w:rPr>
        <w:t>。</w:t>
      </w:r>
    </w:p>
    <w:p w14:paraId="2576917B">
      <w:pPr>
        <w:spacing w:line="640" w:lineRule="exact"/>
        <w:ind w:firstLine="640"/>
        <w:jc w:val="both"/>
        <w:outlineLvl w:val="2"/>
      </w:pPr>
      <w:r>
        <w:rPr>
          <w:rFonts w:ascii="黑体" w:hAnsi="黑体" w:eastAsia="黑体"/>
          <w:sz w:val="32"/>
        </w:rPr>
        <w:t>二、机构设置及人员情况</w:t>
      </w:r>
    </w:p>
    <w:p w14:paraId="470594C4">
      <w:pPr>
        <w:spacing w:line="580" w:lineRule="exact"/>
        <w:ind w:firstLine="640"/>
        <w:jc w:val="both"/>
      </w:pPr>
      <w:r>
        <w:rPr>
          <w:rFonts w:ascii="仿宋_GB2312" w:hAnsi="仿宋_GB2312" w:eastAsia="仿宋_GB2312"/>
          <w:sz w:val="32"/>
        </w:rPr>
        <w:t>和田县英艾日克乡人民政府2024年度，实有人数114人，其中：在职人员102人，减少2人；离休人员0人，增加0人；退休人员12人,增加1人。</w:t>
      </w:r>
    </w:p>
    <w:p w14:paraId="49A02FFD">
      <w:pPr>
        <w:spacing w:line="580" w:lineRule="exact"/>
        <w:ind w:firstLine="640"/>
        <w:jc w:val="both"/>
      </w:pPr>
      <w:r>
        <w:rPr>
          <w:rFonts w:ascii="仿宋_GB2312" w:hAnsi="仿宋_GB2312" w:eastAsia="仿宋_GB2312"/>
          <w:sz w:val="32"/>
        </w:rPr>
        <w:t>和田县英艾日克乡人民政府无下属预算单位，下设13个科室，分别是：党政党建办、综治办、统战办、教育办、精神文明办、乡村振兴办、群众办、纪检办、妇女办、武装部、财政所、民政劳保所、司法所。</w:t>
      </w:r>
    </w:p>
    <w:p w14:paraId="227B42F5">
      <w:r>
        <w:br w:type="page"/>
      </w:r>
    </w:p>
    <w:p w14:paraId="0180C672">
      <w:pPr>
        <w:spacing w:line="240" w:lineRule="auto"/>
        <w:jc w:val="center"/>
        <w:outlineLvl w:val="1"/>
      </w:pPr>
      <w:r>
        <w:rPr>
          <w:rFonts w:ascii="黑体" w:hAnsi="黑体" w:eastAsia="黑体"/>
          <w:sz w:val="32"/>
        </w:rPr>
        <w:t>第二部分 部门决算情况说明</w:t>
      </w:r>
    </w:p>
    <w:p w14:paraId="5EFD0A22">
      <w:pPr>
        <w:spacing w:line="640" w:lineRule="exact"/>
        <w:ind w:firstLine="640"/>
        <w:jc w:val="both"/>
        <w:outlineLvl w:val="2"/>
      </w:pPr>
      <w:r>
        <w:rPr>
          <w:rFonts w:ascii="黑体" w:hAnsi="黑体" w:eastAsia="黑体"/>
          <w:sz w:val="32"/>
        </w:rPr>
        <w:t>一、收入支出决算总体情况说明</w:t>
      </w:r>
    </w:p>
    <w:p w14:paraId="2F4F00AE">
      <w:pPr>
        <w:spacing w:line="580" w:lineRule="exact"/>
        <w:ind w:firstLine="640"/>
        <w:jc w:val="both"/>
      </w:pPr>
      <w:r>
        <w:rPr>
          <w:rFonts w:ascii="仿宋_GB2312" w:hAnsi="仿宋_GB2312" w:eastAsia="仿宋_GB2312"/>
          <w:b/>
          <w:sz w:val="32"/>
        </w:rPr>
        <w:t>2024年度收入总计2,855.90万元，</w:t>
      </w:r>
      <w:r>
        <w:rPr>
          <w:rFonts w:ascii="仿宋_GB2312" w:hAnsi="仿宋_GB2312" w:eastAsia="仿宋_GB2312"/>
          <w:b w:val="0"/>
          <w:sz w:val="32"/>
        </w:rPr>
        <w:t>其中：本年收入合计2,763.20万元，使用非财政拨款结余（含专用结余）0.00万元，年初结转和结余92.70万元。</w:t>
      </w:r>
    </w:p>
    <w:p w14:paraId="21B4A63A">
      <w:pPr>
        <w:spacing w:line="580" w:lineRule="exact"/>
        <w:ind w:firstLine="640"/>
        <w:jc w:val="both"/>
      </w:pPr>
      <w:r>
        <w:rPr>
          <w:rFonts w:ascii="仿宋_GB2312" w:hAnsi="仿宋_GB2312" w:eastAsia="仿宋_GB2312"/>
          <w:b/>
          <w:sz w:val="32"/>
        </w:rPr>
        <w:t>2024年度支出总计2,855.90万元，</w:t>
      </w:r>
      <w:r>
        <w:rPr>
          <w:rFonts w:ascii="仿宋_GB2312" w:hAnsi="仿宋_GB2312" w:eastAsia="仿宋_GB2312"/>
          <w:b w:val="0"/>
          <w:sz w:val="32"/>
        </w:rPr>
        <w:t>其中：本年支出合计2,763.20万元，结余分配0.00万元，年末结转和结余92.70万元。</w:t>
      </w:r>
    </w:p>
    <w:p w14:paraId="2FB7B49C">
      <w:pPr>
        <w:spacing w:line="580" w:lineRule="exact"/>
        <w:ind w:firstLine="640"/>
        <w:jc w:val="both"/>
      </w:pPr>
      <w:r>
        <w:rPr>
          <w:rFonts w:ascii="仿宋_GB2312" w:hAnsi="仿宋_GB2312" w:eastAsia="仿宋_GB2312"/>
          <w:b w:val="0"/>
          <w:sz w:val="32"/>
        </w:rPr>
        <w:t>收入支出总体与上年相比，增加506.14万元，增长21.54%，主要原因是：本年增加羊产业发展补助项目、牛产业发展补助项目、小麦产业发展补助项目、核桃产业发展补助项目、葡萄产业发展补助项目、庭院经济补助项目、自主创业补助项目、玉米产业发展补助项目，导致项目资金较上年增加。</w:t>
      </w:r>
    </w:p>
    <w:p w14:paraId="70C3E3D8">
      <w:pPr>
        <w:spacing w:line="640" w:lineRule="exact"/>
        <w:ind w:firstLine="640"/>
        <w:jc w:val="both"/>
        <w:outlineLvl w:val="2"/>
      </w:pPr>
      <w:r>
        <w:rPr>
          <w:rFonts w:ascii="黑体" w:hAnsi="黑体" w:eastAsia="黑体"/>
          <w:sz w:val="32"/>
        </w:rPr>
        <w:t>二、收入决算情况说明</w:t>
      </w:r>
    </w:p>
    <w:p w14:paraId="2F180DEB">
      <w:pPr>
        <w:spacing w:line="580" w:lineRule="exact"/>
        <w:ind w:firstLine="640"/>
        <w:jc w:val="both"/>
      </w:pPr>
      <w:r>
        <w:rPr>
          <w:rFonts w:ascii="仿宋_GB2312" w:hAnsi="仿宋_GB2312" w:eastAsia="仿宋_GB2312"/>
          <w:b/>
          <w:sz w:val="32"/>
        </w:rPr>
        <w:t>本年收入2,763.20万元，</w:t>
      </w:r>
      <w:r>
        <w:rPr>
          <w:rFonts w:ascii="仿宋_GB2312" w:hAnsi="仿宋_GB2312" w:eastAsia="仿宋_GB2312"/>
          <w:b w:val="0"/>
          <w:sz w:val="32"/>
        </w:rPr>
        <w:t>其中：财政拨款收入2,763.20万元，占100.00%；上级补助收入0.00万元，占0.00%；事业收入0.00万元，占0.00%；经营收入0.00万元，占0.00%；附属单位上缴收入0.00万元，占0.00%；其他收入0.00万元，占0.00%。</w:t>
      </w:r>
    </w:p>
    <w:p w14:paraId="2CED7C3C">
      <w:pPr>
        <w:spacing w:line="640" w:lineRule="exact"/>
        <w:ind w:firstLine="640"/>
        <w:jc w:val="both"/>
        <w:outlineLvl w:val="2"/>
      </w:pPr>
      <w:r>
        <w:rPr>
          <w:rFonts w:ascii="黑体" w:hAnsi="黑体" w:eastAsia="黑体"/>
          <w:sz w:val="32"/>
        </w:rPr>
        <w:t>三、支出决算情况说明</w:t>
      </w:r>
    </w:p>
    <w:p w14:paraId="268CE8A8">
      <w:pPr>
        <w:spacing w:line="580" w:lineRule="exact"/>
        <w:ind w:firstLine="640"/>
        <w:jc w:val="both"/>
      </w:pPr>
      <w:r>
        <w:rPr>
          <w:rFonts w:ascii="仿宋_GB2312" w:hAnsi="仿宋_GB2312" w:eastAsia="仿宋_GB2312"/>
          <w:b/>
          <w:sz w:val="32"/>
        </w:rPr>
        <w:t>本年支出2,763.20万元，</w:t>
      </w:r>
      <w:r>
        <w:rPr>
          <w:rFonts w:ascii="仿宋_GB2312" w:hAnsi="仿宋_GB2312" w:eastAsia="仿宋_GB2312"/>
          <w:b w:val="0"/>
          <w:sz w:val="32"/>
        </w:rPr>
        <w:t>其中：基本支出1,950.54万元，占70.59%；项目支出812.65万元，占29.41%；上缴上级支出0.00万元，占0.00%；经营支出0.00万元，占0.00%；对附属单位补助支出0.00万元，占0.00%。</w:t>
      </w:r>
    </w:p>
    <w:p w14:paraId="60221418">
      <w:pPr>
        <w:spacing w:line="640" w:lineRule="exact"/>
        <w:ind w:firstLine="640"/>
        <w:jc w:val="both"/>
        <w:outlineLvl w:val="2"/>
      </w:pPr>
      <w:r>
        <w:rPr>
          <w:rFonts w:ascii="黑体" w:hAnsi="黑体" w:eastAsia="黑体"/>
          <w:sz w:val="32"/>
        </w:rPr>
        <w:t>四、财政拨款收入支出决算总体情况说明</w:t>
      </w:r>
    </w:p>
    <w:p w14:paraId="0814E3A1">
      <w:pPr>
        <w:spacing w:line="580" w:lineRule="exact"/>
        <w:ind w:firstLine="640"/>
        <w:jc w:val="both"/>
      </w:pPr>
      <w:r>
        <w:rPr>
          <w:rFonts w:ascii="仿宋_GB2312" w:hAnsi="仿宋_GB2312" w:eastAsia="仿宋_GB2312"/>
          <w:b/>
          <w:sz w:val="32"/>
        </w:rPr>
        <w:t>2024年度财政拨款收入总计2,763.20万元，</w:t>
      </w:r>
      <w:r>
        <w:rPr>
          <w:rFonts w:ascii="仿宋_GB2312" w:hAnsi="仿宋_GB2312" w:eastAsia="仿宋_GB2312"/>
          <w:b w:val="0"/>
          <w:sz w:val="32"/>
        </w:rPr>
        <w:t>其中：年初财政拨款结转和结余0.00万元，本年财政拨款收入2,763.20万元。</w:t>
      </w:r>
      <w:r>
        <w:rPr>
          <w:rFonts w:ascii="仿宋_GB2312" w:hAnsi="仿宋_GB2312" w:eastAsia="仿宋_GB2312"/>
          <w:b/>
          <w:sz w:val="32"/>
        </w:rPr>
        <w:t>财政拨款支出总计2,763.20万元，</w:t>
      </w:r>
      <w:r>
        <w:rPr>
          <w:rFonts w:ascii="仿宋_GB2312" w:hAnsi="仿宋_GB2312" w:eastAsia="仿宋_GB2312"/>
          <w:b w:val="0"/>
          <w:sz w:val="32"/>
        </w:rPr>
        <w:t>其中：年末财政拨款结转和结余0.00万元，本年财政拨款支出2,763.20万元。</w:t>
      </w:r>
    </w:p>
    <w:p w14:paraId="5142FE78">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563.64万元，增长25.63%，主要原因是：本年增加羊产业发展补助项目、牛产业发展补助项目、小麦产业发展补助项目、核桃产业发展补助项目、葡萄产业发展补助项目、庭院经济补助项目、自主创业补助项目、玉米产业发展补助项目，导致项目资金较上年增加。</w:t>
      </w:r>
      <w:r>
        <w:rPr>
          <w:rFonts w:ascii="仿宋_GB2312" w:hAnsi="仿宋_GB2312" w:eastAsia="仿宋_GB2312"/>
          <w:b/>
          <w:sz w:val="32"/>
        </w:rPr>
        <w:t>与年初预算相比，</w:t>
      </w:r>
      <w:r>
        <w:rPr>
          <w:rFonts w:ascii="仿宋_GB2312" w:hAnsi="仿宋_GB2312" w:eastAsia="仿宋_GB2312"/>
          <w:b w:val="0"/>
          <w:sz w:val="32"/>
        </w:rPr>
        <w:t>年初预算数2,545.91万元，决算数2,763.20万元，预决算差异率8.53%，主要原因是：年中追加和田县2024年羊产业发展（二期）补助项目、和田县2024年牛产业发展（二期）补助项目，导致预决算存在差异。</w:t>
      </w:r>
    </w:p>
    <w:p w14:paraId="61BFD353">
      <w:pPr>
        <w:spacing w:line="640" w:lineRule="exact"/>
        <w:ind w:firstLine="640"/>
        <w:jc w:val="both"/>
        <w:outlineLvl w:val="2"/>
      </w:pPr>
      <w:r>
        <w:rPr>
          <w:rFonts w:ascii="黑体" w:hAnsi="黑体" w:eastAsia="黑体"/>
          <w:sz w:val="32"/>
        </w:rPr>
        <w:t>五、一般公共预算财政拨款支出决算情况说明</w:t>
      </w:r>
    </w:p>
    <w:p w14:paraId="4DAF9929">
      <w:pPr>
        <w:spacing w:line="640" w:lineRule="exact"/>
        <w:ind w:firstLine="640"/>
        <w:jc w:val="both"/>
        <w:outlineLvl w:val="3"/>
      </w:pPr>
      <w:r>
        <w:rPr>
          <w:rFonts w:ascii="楷体_GB2312" w:hAnsi="楷体_GB2312" w:eastAsia="楷体_GB2312"/>
          <w:b/>
          <w:sz w:val="32"/>
        </w:rPr>
        <w:t>（一）一般公共预算财政拨款支出决算总体情况</w:t>
      </w:r>
    </w:p>
    <w:p w14:paraId="71879B0A">
      <w:pPr>
        <w:spacing w:line="580" w:lineRule="exact"/>
        <w:ind w:firstLine="640"/>
        <w:jc w:val="both"/>
      </w:pPr>
      <w:r>
        <w:rPr>
          <w:rFonts w:ascii="仿宋_GB2312" w:hAnsi="仿宋_GB2312" w:eastAsia="仿宋_GB2312"/>
          <w:b/>
          <w:sz w:val="32"/>
        </w:rPr>
        <w:t>2024年度一般公共预算财政拨款支出2,763.20万元，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563.64万元，增长25.63%，主要原因是：本年增加羊产业发展补助项目、牛产业发展补助项目、小麦产业发展补助项目、核桃产业发展补助项目、葡萄产业发展补助项目、庭院经济补助项目、自主创业补助项目、玉米产业发展补助项目，导致项目资金较上年增加。</w:t>
      </w:r>
      <w:r>
        <w:rPr>
          <w:rFonts w:ascii="仿宋_GB2312" w:hAnsi="仿宋_GB2312" w:eastAsia="仿宋_GB2312"/>
          <w:b/>
          <w:sz w:val="32"/>
        </w:rPr>
        <w:t>与年初预算相比,</w:t>
      </w:r>
      <w:r>
        <w:rPr>
          <w:rFonts w:ascii="仿宋_GB2312" w:hAnsi="仿宋_GB2312" w:eastAsia="仿宋_GB2312"/>
          <w:b w:val="0"/>
          <w:sz w:val="32"/>
        </w:rPr>
        <w:t>年初预算数2,545.91万元，决算数2,763.20万元，预决算差异率8.53%，主要原因是：年中追加和田县2024年羊产业发展（二期）补助项目、和田县2024年牛产业发展（二期）补助项目，导致预决算存在差异。</w:t>
      </w:r>
    </w:p>
    <w:p w14:paraId="0D3302E5">
      <w:pPr>
        <w:spacing w:line="640" w:lineRule="exact"/>
        <w:ind w:firstLine="640"/>
        <w:jc w:val="both"/>
        <w:outlineLvl w:val="3"/>
      </w:pPr>
      <w:r>
        <w:rPr>
          <w:rFonts w:ascii="楷体_GB2312" w:hAnsi="楷体_GB2312" w:eastAsia="楷体_GB2312"/>
          <w:b/>
          <w:sz w:val="32"/>
        </w:rPr>
        <w:t>（二）一般公共预算财政拨款支出决算结构情况</w:t>
      </w:r>
    </w:p>
    <w:p w14:paraId="4E5C6866">
      <w:pPr>
        <w:spacing w:line="580" w:lineRule="exact"/>
        <w:ind w:firstLine="640"/>
        <w:jc w:val="both"/>
      </w:pPr>
      <w:r>
        <w:rPr>
          <w:rFonts w:ascii="仿宋_GB2312" w:hAnsi="仿宋_GB2312" w:eastAsia="仿宋_GB2312"/>
          <w:b w:val="0"/>
          <w:sz w:val="32"/>
        </w:rPr>
        <w:t>1.一般公共服务支出(类)1,611.19万元,占58.31%。</w:t>
      </w:r>
    </w:p>
    <w:p w14:paraId="1012CB50">
      <w:pPr>
        <w:spacing w:line="580" w:lineRule="exact"/>
        <w:ind w:firstLine="640"/>
        <w:jc w:val="both"/>
      </w:pPr>
      <w:r>
        <w:rPr>
          <w:rFonts w:ascii="仿宋_GB2312" w:hAnsi="仿宋_GB2312" w:eastAsia="仿宋_GB2312"/>
          <w:b w:val="0"/>
          <w:sz w:val="32"/>
        </w:rPr>
        <w:t>2.社会保障和就业支出(类)206.00万元,占7.46%。</w:t>
      </w:r>
    </w:p>
    <w:p w14:paraId="2B26BEFE">
      <w:pPr>
        <w:spacing w:line="580" w:lineRule="exact"/>
        <w:ind w:firstLine="640"/>
        <w:jc w:val="both"/>
      </w:pPr>
      <w:r>
        <w:rPr>
          <w:rFonts w:ascii="仿宋_GB2312" w:hAnsi="仿宋_GB2312" w:eastAsia="仿宋_GB2312"/>
          <w:b w:val="0"/>
          <w:sz w:val="32"/>
        </w:rPr>
        <w:t>3.农林水支出(类)805.97万元,占29.17%。</w:t>
      </w:r>
    </w:p>
    <w:p w14:paraId="04AFB8DE">
      <w:pPr>
        <w:spacing w:line="580" w:lineRule="exact"/>
        <w:ind w:firstLine="640"/>
        <w:jc w:val="both"/>
      </w:pPr>
      <w:r>
        <w:rPr>
          <w:rFonts w:ascii="仿宋_GB2312" w:hAnsi="仿宋_GB2312" w:eastAsia="仿宋_GB2312"/>
          <w:b w:val="0"/>
          <w:sz w:val="32"/>
        </w:rPr>
        <w:t>4.住房保障支出(类)140.04万元,占5.07%。</w:t>
      </w:r>
    </w:p>
    <w:p w14:paraId="1C93766C">
      <w:pPr>
        <w:spacing w:line="640" w:lineRule="exact"/>
        <w:ind w:firstLine="640"/>
        <w:jc w:val="both"/>
        <w:outlineLvl w:val="3"/>
      </w:pPr>
      <w:r>
        <w:rPr>
          <w:rFonts w:ascii="楷体_GB2312" w:hAnsi="楷体_GB2312" w:eastAsia="楷体_GB2312"/>
          <w:b/>
          <w:sz w:val="32"/>
        </w:rPr>
        <w:t>（三）一般公共预算财政拨款支出决算具体情况</w:t>
      </w:r>
    </w:p>
    <w:p w14:paraId="33EA2DEB">
      <w:pPr>
        <w:spacing w:line="580" w:lineRule="exact"/>
        <w:ind w:firstLine="640"/>
        <w:jc w:val="both"/>
      </w:pPr>
      <w:r>
        <w:rPr>
          <w:rFonts w:ascii="仿宋_GB2312" w:hAnsi="仿宋_GB2312" w:eastAsia="仿宋_GB2312"/>
          <w:b w:val="0"/>
          <w:sz w:val="32"/>
        </w:rPr>
        <w:t>1.一般公共服务支出(类)政府办公厅（室）及相关机构事务(款)行政运行(项):支出决算数为1,604.51万元，比上年决算减少189.96万元，下降10.59%,主要原因是：本年功能科目调整，住房公积金上年度在此科目列支，本年单独列支，导致经费较上年减少；办公经费、差旅费较上年减少，导致经费较上年减少。</w:t>
      </w:r>
    </w:p>
    <w:p w14:paraId="2BC7A3E8">
      <w:pPr>
        <w:spacing w:line="580" w:lineRule="exact"/>
        <w:ind w:firstLine="640"/>
        <w:jc w:val="both"/>
      </w:pPr>
      <w:r>
        <w:rPr>
          <w:rFonts w:ascii="仿宋_GB2312" w:hAnsi="仿宋_GB2312" w:eastAsia="仿宋_GB2312"/>
          <w:b w:val="0"/>
          <w:sz w:val="32"/>
        </w:rPr>
        <w:t>2.一般公共服务支出(类)政府办公厅（室）及相关机构事务(款)其他政府办公厅（室）及相关机构事务支出(项):支出决算数为4.68万元，比上年决算增加4.68万元，增长100.00%,主要原因是：本年增加英艾日克乡建设用地项目占用耕地缴纳开垦经费，导致经费较上年增加。</w:t>
      </w:r>
    </w:p>
    <w:p w14:paraId="37DD1656">
      <w:pPr>
        <w:spacing w:line="580" w:lineRule="exact"/>
        <w:ind w:firstLine="640"/>
        <w:jc w:val="both"/>
      </w:pPr>
      <w:r>
        <w:rPr>
          <w:rFonts w:ascii="仿宋_GB2312" w:hAnsi="仿宋_GB2312" w:eastAsia="仿宋_GB2312"/>
          <w:b w:val="0"/>
          <w:sz w:val="32"/>
        </w:rPr>
        <w:t>3.一般公共服务支出(类)纪检监察事务(款)其他纪检监察事务支出(项):支出决算数为2.00万元，比上年决算增加0.50万元，增长33.33%,主要原因是：本年中央政法纪检监察转移支付资金增加，导致经费较上年增加。</w:t>
      </w:r>
    </w:p>
    <w:p w14:paraId="5173CF3C">
      <w:pPr>
        <w:spacing w:line="580" w:lineRule="exact"/>
        <w:ind w:firstLine="640"/>
        <w:jc w:val="both"/>
      </w:pPr>
      <w:r>
        <w:rPr>
          <w:rFonts w:ascii="仿宋_GB2312" w:hAnsi="仿宋_GB2312" w:eastAsia="仿宋_GB2312"/>
          <w:b w:val="0"/>
          <w:sz w:val="32"/>
        </w:rPr>
        <w:t>4.一般公共服务支出(类)群众团体事务(款)其他群众团体事务支出(项):支出决算数为0.00万元，比上年决算减少2.54万元，下降100.00%,主要原因是：本年减少和田县英艾日克乡妇女儿童工作经费，导致经费较上年减少。</w:t>
      </w:r>
    </w:p>
    <w:p w14:paraId="3EDCEF4B">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188.83万元，比上年决算增加26.28万元，增长16.17%,主要原因是：本年在职人员工资基数调增，养老缴费基数上涨，相应支出增加，导致经费较上年增加。</w:t>
      </w:r>
    </w:p>
    <w:p w14:paraId="5A55EC87">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17.18万元，比上年决算增加11.62万元，增长208.99%,主要原因是：本年新增退休人员和调出人员，职业年金缴费支出增加，导致经费较上年增加。</w:t>
      </w:r>
    </w:p>
    <w:p w14:paraId="09151FEC">
      <w:pPr>
        <w:spacing w:line="580" w:lineRule="exact"/>
        <w:ind w:firstLine="640"/>
        <w:jc w:val="both"/>
      </w:pPr>
      <w:r>
        <w:rPr>
          <w:rFonts w:ascii="仿宋_GB2312" w:hAnsi="仿宋_GB2312" w:eastAsia="仿宋_GB2312"/>
          <w:b w:val="0"/>
          <w:sz w:val="32"/>
        </w:rPr>
        <w:t>7.农林水支出(类)巩固脱贫攻坚成果衔接乡村振兴(款)其他巩固脱贫攻坚成果衔接乡村振兴支出(项):支出决算数为700.56万元，比上年决算增加488.38万元，增长230.17%,主要原因是：本年增加羊产业发展补助项目、牛产业发展补助项目、小麦产业发展补助项目、核桃产业发展补助项目、葡萄产业发展补助项目、庭院经济补助项目、自主创业补助项目、玉米产业发展补助项目，导致项目资金较上年增加。</w:t>
      </w:r>
    </w:p>
    <w:p w14:paraId="7C035DBB">
      <w:pPr>
        <w:spacing w:line="580" w:lineRule="exact"/>
        <w:ind w:firstLine="640"/>
        <w:jc w:val="both"/>
      </w:pPr>
      <w:r>
        <w:rPr>
          <w:rFonts w:ascii="仿宋_GB2312" w:hAnsi="仿宋_GB2312" w:eastAsia="仿宋_GB2312"/>
          <w:b w:val="0"/>
          <w:sz w:val="32"/>
        </w:rPr>
        <w:t>8.农林水支出(类)农村综合改革(款)对村级公益事业建设的补助(项):支出决算数为0.00万元，比上年决算减少1.60万元，下降100.00%,主要原因是：本年减少2021年度中央农村综合改革转移支付项目，导致项目资金较上年减少。</w:t>
      </w:r>
    </w:p>
    <w:p w14:paraId="7817506D">
      <w:pPr>
        <w:spacing w:line="580" w:lineRule="exact"/>
        <w:ind w:firstLine="640"/>
        <w:jc w:val="both"/>
      </w:pPr>
      <w:r>
        <w:rPr>
          <w:rFonts w:ascii="仿宋_GB2312" w:hAnsi="仿宋_GB2312" w:eastAsia="仿宋_GB2312"/>
          <w:b w:val="0"/>
          <w:sz w:val="32"/>
        </w:rPr>
        <w:t>9.农林水支出(类)农村综合改革(款)对村民委员会和村党支部的补助(项):支出决算数为105.41万元，比上年决算增加86.25万元，增长450.16%,主要原因是：本年对村民委员会和村党支部的补助经费增加，导致经费较上年增加。</w:t>
      </w:r>
    </w:p>
    <w:p w14:paraId="77693B69">
      <w:pPr>
        <w:spacing w:line="580" w:lineRule="exact"/>
        <w:ind w:firstLine="640"/>
        <w:jc w:val="both"/>
      </w:pPr>
      <w:r>
        <w:rPr>
          <w:rFonts w:ascii="仿宋_GB2312" w:hAnsi="仿宋_GB2312" w:eastAsia="仿宋_GB2312"/>
          <w:b w:val="0"/>
          <w:sz w:val="32"/>
        </w:rPr>
        <w:t>10.住房保障支出(类)住房改革支出(款)住房公积金(项):支出决算数为140.04万元，比上年决算增加140.04万元，增长100.00%,主要原因是：本年功能科目调整，住房公积金上年度在主科目列支，本年单独列支，导致经费较上年增加。</w:t>
      </w:r>
    </w:p>
    <w:p w14:paraId="50F9236E">
      <w:pPr>
        <w:spacing w:line="640" w:lineRule="exact"/>
        <w:ind w:firstLine="640"/>
        <w:jc w:val="both"/>
        <w:outlineLvl w:val="2"/>
      </w:pPr>
      <w:r>
        <w:rPr>
          <w:rFonts w:ascii="黑体" w:hAnsi="黑体" w:eastAsia="黑体"/>
          <w:sz w:val="32"/>
        </w:rPr>
        <w:t>六、一般公共预算财政拨款基本支出决算情况说明</w:t>
      </w:r>
    </w:p>
    <w:p w14:paraId="34383F59">
      <w:pPr>
        <w:spacing w:line="580" w:lineRule="exact"/>
        <w:ind w:firstLine="640"/>
        <w:jc w:val="both"/>
      </w:pPr>
      <w:r>
        <w:rPr>
          <w:rFonts w:ascii="仿宋_GB2312" w:hAnsi="仿宋_GB2312" w:eastAsia="仿宋_GB2312"/>
          <w:b w:val="0"/>
          <w:sz w:val="32"/>
        </w:rPr>
        <w:t>2024年度一般公共预算财政拨款基本支出1,950.54万元，其中：</w:t>
      </w:r>
      <w:r>
        <w:rPr>
          <w:rFonts w:ascii="仿宋_GB2312" w:hAnsi="仿宋_GB2312" w:eastAsia="仿宋_GB2312"/>
          <w:b/>
          <w:sz w:val="32"/>
        </w:rPr>
        <w:t>人员经费1,919.88万元，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包括：基本工资、津贴补贴、奖金、机关事业单位基本养老保险缴费、职业年金缴费、职工基本医疗保险缴费、公务员医疗补助缴费、其他社会保障缴费、住房公积金、其他工资福利支出、退休费、生活补助。</w:t>
      </w:r>
    </w:p>
    <w:p w14:paraId="197186F0">
      <w:pPr>
        <w:spacing w:line="580" w:lineRule="exact"/>
        <w:ind w:firstLine="640"/>
        <w:jc w:val="both"/>
      </w:pPr>
      <w:r>
        <w:rPr>
          <w:rFonts w:ascii="仿宋_GB2312" w:hAnsi="仿宋_GB2312" w:eastAsia="仿宋_GB2312"/>
          <w:b/>
          <w:sz w:val="32"/>
        </w:rPr>
        <w:t>公用经费30.66万元，</w:t>
      </w:r>
      <w:r>
        <w:rPr>
          <w:rFonts w:ascii="仿宋_GB2312" w:hAnsi="仿宋_GB2312" w:eastAsia="仿宋_GB2312"/>
          <w:b w:val="0"/>
          <w:sz w:val="32"/>
        </w:rPr>
        <w:t>包括：办公费、印刷费、电费、邮电费、差旅费、劳务费、公务用车运行维护费、税金及附加费用。</w:t>
      </w:r>
    </w:p>
    <w:p w14:paraId="50035D41">
      <w:pPr>
        <w:spacing w:line="640" w:lineRule="exact"/>
        <w:ind w:firstLine="640"/>
        <w:jc w:val="both"/>
        <w:outlineLvl w:val="2"/>
      </w:pPr>
      <w:r>
        <w:rPr>
          <w:rFonts w:ascii="黑体" w:hAnsi="黑体" w:eastAsia="黑体"/>
          <w:sz w:val="32"/>
        </w:rPr>
        <w:t>七、政府性基金预算财政拨款收入支出决算情况说明</w:t>
      </w:r>
    </w:p>
    <w:p w14:paraId="4F40CA05">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79B20F48">
      <w:pPr>
        <w:spacing w:line="640" w:lineRule="exact"/>
        <w:ind w:firstLine="640"/>
        <w:jc w:val="both"/>
        <w:outlineLvl w:val="2"/>
      </w:pPr>
      <w:r>
        <w:rPr>
          <w:rFonts w:ascii="黑体" w:hAnsi="黑体" w:eastAsia="黑体"/>
          <w:sz w:val="32"/>
        </w:rPr>
        <w:t>八、国有资本经营预算财政拨款收入支出决算情况说明</w:t>
      </w:r>
    </w:p>
    <w:p w14:paraId="3C0CA4B8">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2607A7BF">
      <w:pPr>
        <w:spacing w:line="640" w:lineRule="exact"/>
        <w:ind w:firstLine="640"/>
        <w:jc w:val="both"/>
        <w:outlineLvl w:val="2"/>
      </w:pPr>
      <w:r>
        <w:rPr>
          <w:rFonts w:ascii="黑体" w:hAnsi="黑体" w:eastAsia="黑体"/>
          <w:sz w:val="32"/>
        </w:rPr>
        <w:t>九、财政拨款“三公”经费支出决算情况说明</w:t>
      </w:r>
    </w:p>
    <w:p w14:paraId="3D8DBFA7">
      <w:pPr>
        <w:spacing w:line="580" w:lineRule="exact"/>
        <w:ind w:firstLine="640"/>
        <w:jc w:val="both"/>
      </w:pPr>
      <w:r>
        <w:rPr>
          <w:rFonts w:ascii="仿宋_GB2312" w:hAnsi="仿宋_GB2312" w:eastAsia="仿宋_GB2312"/>
          <w:b/>
          <w:sz w:val="32"/>
        </w:rPr>
        <w:t>2024年度财政拨款“三公”经费支出5.06万元，</w:t>
      </w:r>
      <w:r>
        <w:rPr>
          <w:rFonts w:ascii="仿宋_GB2312" w:hAnsi="仿宋_GB2312" w:eastAsia="仿宋_GB2312"/>
          <w:b w:val="0"/>
          <w:sz w:val="32"/>
        </w:rPr>
        <w:t>比上年增加0.06万元，增长1.20%，主要原因是：本年因业务需求，用车次数增加，燃油费增加，导致公务用车运行维护费较上年增加。其中：因公出国（境）费支出0.00万元，占0.00%，比上年增加0.00万元，增长0.00%，主要原因是：2023年与2024年均未安排因公出国（境）费支出。公务用车购置及运行维护费支出5.06万元，占100.00%，比上年增加0.06万元，增长1.20%，主要原因是：本年因业务需求，用车次数增加，燃油费增加，导致公务用车运行维护费较上年增加。公务接待费支出0.00万元，占0.00%，比上年增加0.00万元，增长0.00%，主要原因是：2023年与2024年均未安排公务接待费支出。</w:t>
      </w:r>
    </w:p>
    <w:p w14:paraId="79B8F80A">
      <w:pPr>
        <w:spacing w:line="580" w:lineRule="exact"/>
        <w:ind w:firstLine="640"/>
        <w:jc w:val="both"/>
      </w:pPr>
      <w:r>
        <w:rPr>
          <w:rFonts w:ascii="仿宋_GB2312" w:hAnsi="仿宋_GB2312" w:eastAsia="仿宋_GB2312"/>
          <w:b/>
          <w:sz w:val="32"/>
        </w:rPr>
        <w:t>具体情况如下：</w:t>
      </w:r>
    </w:p>
    <w:p w14:paraId="1D027D93">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60FE6E92">
      <w:pPr>
        <w:spacing w:line="580" w:lineRule="exact"/>
        <w:ind w:firstLine="640"/>
        <w:jc w:val="both"/>
      </w:pPr>
      <w:r>
        <w:rPr>
          <w:rFonts w:ascii="仿宋_GB2312" w:hAnsi="仿宋_GB2312" w:eastAsia="仿宋_GB2312"/>
          <w:b w:val="0"/>
          <w:sz w:val="32"/>
        </w:rPr>
        <w:t>公务用车购置及运行维护费5.06万元，其中：公务用车购置费0.00万元，公务用车运行维护费5.06万元。公务用车运行维护费开支内容包括车辆加油费、维修费、保险费。公务用车购置数0辆，公务用车保有量7辆。国有资产占用情况中固定资产车辆7辆，与公务用车保有量差异原因是：本单位固定资产车辆与公务用车保有量一致无差异。</w:t>
      </w:r>
    </w:p>
    <w:p w14:paraId="7F5E0B30">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15BF477D">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5.06万元，决算数5.06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5.06万元，决算数5.06万元，预决算差异率0.00%，主要原因是：严格按照预算执行，预决算无差异。公务接待费全年预算数0.00万元，决算数0.00万元，预决算差异率0.00%，主要原因是：本单位无公务接待费。</w:t>
      </w:r>
    </w:p>
    <w:p w14:paraId="258F5046">
      <w:pPr>
        <w:spacing w:line="640" w:lineRule="exact"/>
        <w:ind w:firstLine="640"/>
        <w:jc w:val="both"/>
        <w:outlineLvl w:val="2"/>
      </w:pPr>
      <w:r>
        <w:rPr>
          <w:rFonts w:ascii="黑体" w:hAnsi="黑体" w:eastAsia="黑体"/>
          <w:sz w:val="32"/>
        </w:rPr>
        <w:t>十、其他重要事项的情况说明</w:t>
      </w:r>
    </w:p>
    <w:p w14:paraId="6BD97F34">
      <w:pPr>
        <w:spacing w:line="640" w:lineRule="exact"/>
        <w:ind w:firstLine="640"/>
        <w:jc w:val="both"/>
        <w:outlineLvl w:val="3"/>
      </w:pPr>
      <w:r>
        <w:rPr>
          <w:rFonts w:ascii="楷体_GB2312" w:hAnsi="楷体_GB2312" w:eastAsia="楷体_GB2312"/>
          <w:b/>
          <w:sz w:val="32"/>
        </w:rPr>
        <w:t>（一）机关运行经费及公用经费支出情况</w:t>
      </w:r>
    </w:p>
    <w:p w14:paraId="1B8B5C73">
      <w:pPr>
        <w:spacing w:line="580" w:lineRule="exact"/>
        <w:ind w:firstLine="640"/>
        <w:jc w:val="both"/>
      </w:pPr>
      <w:r>
        <w:rPr>
          <w:rFonts w:ascii="仿宋_GB2312" w:hAnsi="仿宋_GB2312" w:eastAsia="仿宋_GB2312"/>
          <w:b w:val="0"/>
          <w:sz w:val="32"/>
        </w:rPr>
        <w:t>2024年度和田县英艾日克乡人民政府（行政单位和参照公务员法管理事业单位）机关运行经费支出30.66万元，比上年减少15.28万元，下降33.26%，主要原因是：本年减少公用经费、差旅费、取暖费，导致机关运行经费较上年减少。</w:t>
      </w:r>
    </w:p>
    <w:p w14:paraId="2D9727C8">
      <w:pPr>
        <w:spacing w:line="640" w:lineRule="exact"/>
        <w:ind w:firstLine="640"/>
        <w:jc w:val="both"/>
        <w:outlineLvl w:val="3"/>
      </w:pPr>
      <w:r>
        <w:rPr>
          <w:rFonts w:ascii="楷体_GB2312" w:hAnsi="楷体_GB2312" w:eastAsia="楷体_GB2312"/>
          <w:b/>
          <w:sz w:val="32"/>
        </w:rPr>
        <w:t>（二）政府采购情况</w:t>
      </w:r>
    </w:p>
    <w:p w14:paraId="64458C47">
      <w:pPr>
        <w:spacing w:line="580" w:lineRule="exact"/>
        <w:ind w:firstLine="640"/>
        <w:jc w:val="both"/>
      </w:pPr>
      <w:r>
        <w:rPr>
          <w:rFonts w:ascii="仿宋_GB2312" w:hAnsi="仿宋_GB2312" w:eastAsia="仿宋_GB2312"/>
          <w:b w:val="0"/>
          <w:sz w:val="32"/>
        </w:rPr>
        <w:t>2024年度政府采购支出总额17.77万元，其中：政府采购货物支出14.98万元、政府采购工程支出0.00万元、政府采购服务支出2.79万元。</w:t>
      </w:r>
    </w:p>
    <w:p w14:paraId="12961353">
      <w:pPr>
        <w:spacing w:line="580" w:lineRule="exact"/>
        <w:ind w:firstLine="640"/>
        <w:jc w:val="both"/>
      </w:pPr>
      <w:r>
        <w:rPr>
          <w:rFonts w:ascii="仿宋_GB2312" w:hAnsi="仿宋_GB2312" w:eastAsia="仿宋_GB2312"/>
          <w:b w:val="0"/>
          <w:sz w:val="32"/>
        </w:rPr>
        <w:t>授予中小企业合同金额16.84万元，占政府采购支出总额的94.77%，其中：授予小微企业合同金额16.84万元，占政府采购支出总额的94.77%。</w:t>
      </w:r>
    </w:p>
    <w:p w14:paraId="22573B67">
      <w:pPr>
        <w:spacing w:line="640" w:lineRule="exact"/>
        <w:ind w:firstLine="640"/>
        <w:jc w:val="both"/>
        <w:outlineLvl w:val="3"/>
      </w:pPr>
      <w:r>
        <w:rPr>
          <w:rFonts w:ascii="楷体_GB2312" w:hAnsi="楷体_GB2312" w:eastAsia="楷体_GB2312"/>
          <w:b/>
          <w:sz w:val="32"/>
        </w:rPr>
        <w:t>（三）国有资产占用情况说明</w:t>
      </w:r>
    </w:p>
    <w:p w14:paraId="4B18DC5A">
      <w:pPr>
        <w:spacing w:line="580" w:lineRule="exact"/>
        <w:ind w:firstLine="640"/>
        <w:jc w:val="both"/>
      </w:pPr>
      <w:r>
        <w:rPr>
          <w:rFonts w:ascii="仿宋_GB2312" w:hAnsi="仿宋_GB2312" w:eastAsia="仿宋_GB2312"/>
          <w:b w:val="0"/>
          <w:sz w:val="32"/>
        </w:rPr>
        <w:t>截至2024年12月31日，房屋11,588.99平方米，价值1,950.08万元。车辆7辆，价值173.52万元，其中：副部（省）级及以上领导用车0辆、主要负责人用车0辆、机要通信用车0辆、应急保障用车0辆、执法执勤用车0辆、特种专业技术用车0辆、离退休干部服务用车0辆、其他用车7辆，其他用车主要是：一般公务用车。单价100万元（含）以上设备（不含车辆）1台（套）。</w:t>
      </w:r>
    </w:p>
    <w:p w14:paraId="33FEE800">
      <w:pPr>
        <w:spacing w:line="640" w:lineRule="exact"/>
        <w:ind w:firstLine="640"/>
        <w:jc w:val="both"/>
        <w:outlineLvl w:val="2"/>
      </w:pPr>
      <w:r>
        <w:rPr>
          <w:rFonts w:ascii="黑体" w:hAnsi="黑体" w:eastAsia="黑体"/>
          <w:sz w:val="32"/>
        </w:rPr>
        <w:t>十一、预算绩效的情况说明</w:t>
      </w:r>
    </w:p>
    <w:p w14:paraId="2A9EA95A">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2,855.89万元，实际执行总额2,763.19万元；预算绩效评价项目3个，全年预算数241.10万元，全年执行数202.32万元。预算绩效管理取得的成效：一是明确了预算项目绩效目标编制要求，分类别建立科学合理、细化量化、可比可测预算绩效指标体系，突出结果导向，重点考核实绩；二是进一步加强了预算绩效管理工作，优化项目支出绩效指标体系，完善预算绩效管理制度，有效推动我单位下一年度预算绩效管理工作常态化、规范化。发现的问题及原因：一是部分业务人员绩效管理意识有待增强，未能全面深入认识理解绩效管理工作的意义。绩效管理经验不足，预算绩效管理工作有待进一步落实；二是绩效指标的明确性、可衡量性、相关性还需进一步提升。预算精细化管理还需完善，预算编制管理水平仍有进一步提升的空间。下一步改进措施：一是加大绩效工作宣传力度，强化绩效理念；二是完善绩效指标，提高整体绩效目标质量。提升预算精细化管理水平；三是继续完善预算绩效管理相关工作制度，建立全过程预算绩效管理链条，有效贯彻落实全面实施绩效管理的精神。具体附整体支出绩效自评表，项目支出绩效自评表和评价报告。</w:t>
      </w:r>
    </w:p>
    <w:p w14:paraId="3D8AF940">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C3CC831">
        <w:tblPrEx>
          <w:tblCellMar>
            <w:top w:w="0" w:type="dxa"/>
            <w:left w:w="108" w:type="dxa"/>
            <w:bottom w:w="0" w:type="dxa"/>
            <w:right w:w="108" w:type="dxa"/>
          </w:tblCellMar>
        </w:tblPrEx>
        <w:tc>
          <w:tcPr>
            <w:tcW w:w="8847" w:type="dxa"/>
            <w:gridSpan w:val="9"/>
            <w:vAlign w:val="center"/>
          </w:tcPr>
          <w:p w14:paraId="60C50765">
            <w:pPr>
              <w:jc w:val="center"/>
            </w:pPr>
            <w:r>
              <w:rPr>
                <w:rFonts w:ascii="宋体" w:hAnsi="宋体" w:eastAsia="宋体"/>
                <w:sz w:val="24"/>
              </w:rPr>
              <w:t>单位整体支出绩效自评表</w:t>
            </w:r>
          </w:p>
        </w:tc>
      </w:tr>
      <w:tr w14:paraId="3833E891">
        <w:tblPrEx>
          <w:tblCellMar>
            <w:top w:w="0" w:type="dxa"/>
            <w:left w:w="108" w:type="dxa"/>
            <w:bottom w:w="0" w:type="dxa"/>
            <w:right w:w="108" w:type="dxa"/>
          </w:tblCellMar>
        </w:tblPrEx>
        <w:tc>
          <w:tcPr>
            <w:tcW w:w="8847" w:type="dxa"/>
            <w:gridSpan w:val="9"/>
            <w:vAlign w:val="center"/>
          </w:tcPr>
          <w:p w14:paraId="69E4BAED">
            <w:pPr>
              <w:jc w:val="center"/>
            </w:pPr>
            <w:r>
              <w:rPr>
                <w:rFonts w:ascii="宋体" w:hAnsi="宋体" w:eastAsia="宋体"/>
                <w:sz w:val="24"/>
              </w:rPr>
              <w:t>（2024年度）</w:t>
            </w:r>
          </w:p>
        </w:tc>
      </w:tr>
      <w:tr w14:paraId="4646DBB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46442A">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64EB8A8">
            <w:pPr>
              <w:jc w:val="center"/>
            </w:pPr>
            <w:r>
              <w:rPr>
                <w:rFonts w:ascii="宋体" w:hAnsi="宋体" w:eastAsia="宋体"/>
                <w:sz w:val="16"/>
              </w:rPr>
              <w:t>和田县英艾日克乡人民政府</w:t>
            </w:r>
          </w:p>
        </w:tc>
      </w:tr>
      <w:tr w14:paraId="7673374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4647DA6">
            <w:pPr>
              <w:jc w:val="center"/>
            </w:pPr>
            <w:r>
              <w:rPr>
                <w:rFonts w:ascii="宋体" w:hAnsi="宋体" w:eastAsia="宋体"/>
                <w:sz w:val="16"/>
              </w:rPr>
              <w:t>年度预算（万元）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E9A708">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C2A312">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323D52">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06114A">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87AAD0">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E47CFF">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901ED3">
            <w:pPr>
              <w:jc w:val="center"/>
            </w:pPr>
            <w:r>
              <w:rPr>
                <w:rFonts w:ascii="宋体" w:hAnsi="宋体" w:eastAsia="宋体"/>
                <w:sz w:val="16"/>
              </w:rPr>
              <w:t>得分</w:t>
            </w:r>
          </w:p>
        </w:tc>
      </w:tr>
      <w:tr w14:paraId="7CF24F3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78B395"/>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BA6A09">
            <w:pPr>
              <w:jc w:val="center"/>
            </w:pPr>
            <w:r>
              <w:rPr>
                <w:rFonts w:ascii="宋体" w:hAnsi="宋体" w:eastAsia="宋体"/>
                <w:sz w:val="16"/>
              </w:rPr>
              <w:t>财政资金（万元）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505978">
            <w:pPr>
              <w:jc w:val="center"/>
            </w:pPr>
            <w:r>
              <w:rPr>
                <w:rFonts w:ascii="宋体" w:hAnsi="宋体" w:eastAsia="宋体"/>
                <w:sz w:val="16"/>
              </w:rPr>
              <w:t>上级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C09FB6">
            <w:pPr>
              <w:jc w:val="center"/>
            </w:pPr>
            <w:r>
              <w:rPr>
                <w:rFonts w:ascii="宋体" w:hAnsi="宋体" w:eastAsia="宋体"/>
                <w:sz w:val="16"/>
              </w:rPr>
              <w:t>14.06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D3A774">
            <w:pPr>
              <w:jc w:val="center"/>
            </w:pPr>
            <w:r>
              <w:rPr>
                <w:rFonts w:ascii="宋体" w:hAnsi="宋体" w:eastAsia="宋体"/>
                <w:sz w:val="16"/>
              </w:rPr>
              <w:t>702.56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497AC6">
            <w:pPr>
              <w:jc w:val="center"/>
            </w:pPr>
            <w:r>
              <w:rPr>
                <w:rFonts w:ascii="宋体" w:hAnsi="宋体" w:eastAsia="宋体"/>
                <w:sz w:val="16"/>
              </w:rPr>
              <w:t>702.56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BE4D7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1E06AC">
            <w:pPr>
              <w:jc w:val="center"/>
            </w:pPr>
            <w:r>
              <w:rPr>
                <w:rFonts w:ascii="宋体" w:hAnsi="宋体" w:eastAsia="宋体"/>
                <w:sz w:val="16"/>
              </w:rPr>
              <w:t>96.75%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00B2F9">
            <w:pPr>
              <w:jc w:val="center"/>
            </w:pPr>
            <w:r>
              <w:rPr>
                <w:rFonts w:ascii="宋体" w:hAnsi="宋体" w:eastAsia="宋体"/>
                <w:sz w:val="16"/>
              </w:rPr>
              <w:t>9.68</w:t>
            </w:r>
          </w:p>
        </w:tc>
      </w:tr>
      <w:tr w14:paraId="37A7759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55018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0DC66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E5AAB3">
            <w:pPr>
              <w:jc w:val="center"/>
            </w:pPr>
            <w:r>
              <w:rPr>
                <w:rFonts w:ascii="宋体" w:hAnsi="宋体" w:eastAsia="宋体"/>
                <w:sz w:val="16"/>
              </w:rPr>
              <w:t>本级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180C35">
            <w:pPr>
              <w:jc w:val="center"/>
            </w:pPr>
            <w:r>
              <w:rPr>
                <w:rFonts w:ascii="宋体" w:hAnsi="宋体" w:eastAsia="宋体"/>
                <w:sz w:val="16"/>
              </w:rPr>
              <w:t>2,258.84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D71D7E">
            <w:pPr>
              <w:jc w:val="center"/>
            </w:pPr>
            <w:r>
              <w:rPr>
                <w:rFonts w:ascii="宋体" w:hAnsi="宋体" w:eastAsia="宋体"/>
                <w:sz w:val="16"/>
              </w:rPr>
              <w:t>2,153.33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BB9A08">
            <w:pPr>
              <w:jc w:val="center"/>
            </w:pPr>
            <w:r>
              <w:rPr>
                <w:rFonts w:ascii="宋体" w:hAnsi="宋体" w:eastAsia="宋体"/>
                <w:sz w:val="16"/>
              </w:rPr>
              <w:t>2,060.63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509A3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FA4CC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4C178B">
            <w:pPr>
              <w:jc w:val="center"/>
            </w:pPr>
            <w:r>
              <w:rPr>
                <w:rFonts w:ascii="宋体" w:hAnsi="宋体" w:eastAsia="宋体"/>
                <w:sz w:val="16"/>
              </w:rPr>
              <w:t>-</w:t>
            </w:r>
          </w:p>
        </w:tc>
      </w:tr>
      <w:tr w14:paraId="6D86C3D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AA0A6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C6C16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171C82">
            <w:pPr>
              <w:jc w:val="center"/>
            </w:pPr>
            <w:r>
              <w:rPr>
                <w:rFonts w:ascii="宋体" w:hAnsi="宋体" w:eastAsia="宋体"/>
                <w:sz w:val="16"/>
              </w:rPr>
              <w:t>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A455B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246EF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B1B75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D149F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8600E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D5256D">
            <w:pPr>
              <w:jc w:val="center"/>
            </w:pPr>
            <w:r>
              <w:rPr>
                <w:rFonts w:ascii="宋体" w:hAnsi="宋体" w:eastAsia="宋体"/>
                <w:sz w:val="16"/>
              </w:rPr>
              <w:t>-</w:t>
            </w:r>
          </w:p>
        </w:tc>
      </w:tr>
      <w:tr w14:paraId="1DE8027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3AFA2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995AA8">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302B9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870138">
            <w:pPr>
              <w:jc w:val="center"/>
            </w:pPr>
            <w:r>
              <w:rPr>
                <w:rFonts w:ascii="宋体" w:hAnsi="宋体" w:eastAsia="宋体"/>
                <w:sz w:val="16"/>
              </w:rPr>
              <w:t>2,272.90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68DC99">
            <w:pPr>
              <w:jc w:val="center"/>
            </w:pPr>
            <w:r>
              <w:rPr>
                <w:rFonts w:ascii="宋体" w:hAnsi="宋体" w:eastAsia="宋体"/>
                <w:sz w:val="16"/>
              </w:rPr>
              <w:t>2,855.89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ED1878">
            <w:pPr>
              <w:jc w:val="center"/>
            </w:pPr>
            <w:r>
              <w:rPr>
                <w:rFonts w:ascii="宋体" w:hAnsi="宋体" w:eastAsia="宋体"/>
                <w:sz w:val="16"/>
              </w:rPr>
              <w:t>2,763.19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B1268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BB2A4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933F0B">
            <w:pPr>
              <w:jc w:val="center"/>
            </w:pPr>
            <w:r>
              <w:rPr>
                <w:rFonts w:ascii="宋体" w:hAnsi="宋体" w:eastAsia="宋体"/>
                <w:sz w:val="16"/>
              </w:rPr>
              <w:t>-</w:t>
            </w:r>
          </w:p>
        </w:tc>
      </w:tr>
      <w:tr w14:paraId="1927B07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5FE695">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1FDB564">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8570F90">
            <w:pPr>
              <w:jc w:val="center"/>
            </w:pPr>
            <w:r>
              <w:rPr>
                <w:rFonts w:ascii="宋体" w:hAnsi="宋体" w:eastAsia="宋体"/>
                <w:sz w:val="16"/>
              </w:rPr>
              <w:t>实际完成情况</w:t>
            </w:r>
          </w:p>
        </w:tc>
      </w:tr>
      <w:tr w14:paraId="0D8800C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74C8BB"/>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B04DB15">
            <w:pPr>
              <w:jc w:val="both"/>
            </w:pPr>
            <w:r>
              <w:rPr>
                <w:rFonts w:ascii="宋体" w:hAnsi="宋体" w:eastAsia="宋体"/>
                <w:sz w:val="16"/>
              </w:rPr>
              <w:t>保障和田县英艾日克乡人民政府2023年度正常运转，确保干部职工工资正常发放，对进一步促进巴格其镇辖区内社会稳定及长治久安有重大意义。</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DB84AC5">
            <w:pPr>
              <w:jc w:val="both"/>
            </w:pPr>
            <w:r>
              <w:rPr>
                <w:rFonts w:ascii="宋体" w:hAnsi="宋体" w:eastAsia="宋体"/>
                <w:sz w:val="16"/>
              </w:rPr>
              <w:t>本年度保障和田县英艾日克乡人民政府基本支出成本控制实际完成值为1948.99万元，保障了乡政府正常办公运转及干部工资正常发放；项目支出成本控制实际完成值为323.92万元，保障了项目正常开展，确保农牧民补贴及时足额到位，对促进英艾日克乡辖区内社会稳定及长治久安有重大意义；村级数量实际完成值为12个，保障了各个村委会的运转经费及时支付，有效缓解了村委会的资金短缺的问题；村级民兵</w:t>
            </w:r>
            <w:r>
              <w:rPr>
                <w:rFonts w:hint="eastAsia" w:ascii="宋体" w:hAnsi="宋体"/>
                <w:sz w:val="16"/>
                <w:lang w:eastAsia="zh-CN"/>
              </w:rPr>
              <w:t>人员</w:t>
            </w:r>
            <w:r>
              <w:rPr>
                <w:rFonts w:ascii="宋体" w:hAnsi="宋体" w:eastAsia="宋体"/>
                <w:sz w:val="16"/>
              </w:rPr>
              <w:t>实际完成值为57人，由于年度民兵人员变动，民兵编制减少2人，导致出现偏差，保障了剩余民兵的工资及时发放，达到了促进民兵的积极性的积极作用；开展各类培训活动场次实际完成值为144次，有效保障村民日常娱乐和节日活动开展，对推进民族团结起到了关键作用；2024年开展宣讲场次实际完成值为432次，保障了英艾日克乡日常宣传工作的推进和村民法治意识的加强作用。</w:t>
            </w:r>
          </w:p>
        </w:tc>
      </w:tr>
      <w:tr w14:paraId="743D5ED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10E6DE">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21464E">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F4308B">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A1F595">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D4DEF5">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934BBE">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8AB71E">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3F60A8">
            <w:pPr>
              <w:jc w:val="center"/>
            </w:pPr>
            <w:r>
              <w:rPr>
                <w:rFonts w:ascii="宋体" w:hAnsi="宋体" w:eastAsia="宋体"/>
                <w:sz w:val="16"/>
              </w:rPr>
              <w:t>得分</w:t>
            </w:r>
          </w:p>
        </w:tc>
      </w:tr>
      <w:tr w14:paraId="02B541B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F1CE187">
            <w:pPr>
              <w:jc w:val="center"/>
            </w:pPr>
            <w:r>
              <w:rPr>
                <w:rFonts w:ascii="宋体" w:hAnsi="宋体" w:eastAsia="宋体"/>
                <w:sz w:val="16"/>
              </w:rPr>
              <w:t>运行成本</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7A94080">
            <w:pPr>
              <w:jc w:val="center"/>
            </w:pPr>
            <w:r>
              <w:rPr>
                <w:rFonts w:ascii="宋体" w:hAnsi="宋体" w:eastAsia="宋体"/>
                <w:sz w:val="16"/>
              </w:rPr>
              <w:t>成本指标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AF04CA">
            <w:pPr>
              <w:jc w:val="center"/>
            </w:pPr>
            <w:r>
              <w:rPr>
                <w:rFonts w:ascii="宋体" w:hAnsi="宋体" w:eastAsia="宋体"/>
                <w:sz w:val="16"/>
              </w:rPr>
              <w:t>基本经费支出成本控制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E8C865">
            <w:pPr>
              <w:jc w:val="center"/>
            </w:pPr>
            <w:r>
              <w:rPr>
                <w:rFonts w:ascii="宋体" w:hAnsi="宋体" w:eastAsia="宋体"/>
                <w:sz w:val="16"/>
              </w:rPr>
              <w:t>&lt;=1948.99万元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3B74C7">
            <w:pPr>
              <w:jc w:val="center"/>
            </w:pPr>
            <w:r>
              <w:rPr>
                <w:rFonts w:ascii="宋体" w:hAnsi="宋体" w:eastAsia="宋体"/>
                <w:sz w:val="16"/>
              </w:rPr>
              <w:t>2024年预算公开报告</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65B24A">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A79E1F">
            <w:pPr>
              <w:jc w:val="center"/>
            </w:pPr>
            <w:r>
              <w:rPr>
                <w:rFonts w:ascii="宋体" w:hAnsi="宋体" w:eastAsia="宋体"/>
                <w:sz w:val="16"/>
              </w:rPr>
              <w:t>=1948.99万元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C464FD">
            <w:pPr>
              <w:jc w:val="center"/>
            </w:pPr>
            <w:r>
              <w:rPr>
                <w:rFonts w:ascii="宋体" w:hAnsi="宋体" w:eastAsia="宋体"/>
                <w:sz w:val="16"/>
              </w:rPr>
              <w:t>15</w:t>
            </w:r>
          </w:p>
        </w:tc>
      </w:tr>
      <w:tr w14:paraId="09708F0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BAE63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C29A9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ED1890">
            <w:pPr>
              <w:jc w:val="center"/>
            </w:pPr>
            <w:r>
              <w:rPr>
                <w:rFonts w:ascii="宋体" w:hAnsi="宋体" w:eastAsia="宋体"/>
                <w:sz w:val="16"/>
              </w:rPr>
              <w:t>项目经费支出成本控制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CF3580">
            <w:pPr>
              <w:jc w:val="center"/>
            </w:pPr>
            <w:r>
              <w:rPr>
                <w:rFonts w:ascii="宋体" w:hAnsi="宋体" w:eastAsia="宋体"/>
                <w:sz w:val="16"/>
              </w:rPr>
              <w:t>&lt;=323.92万元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5BC2F2">
            <w:pPr>
              <w:jc w:val="center"/>
            </w:pPr>
            <w:r>
              <w:rPr>
                <w:rFonts w:ascii="宋体" w:hAnsi="宋体" w:eastAsia="宋体"/>
                <w:sz w:val="16"/>
              </w:rPr>
              <w:t>2024年预算公开报告</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09ECCF">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B41647">
            <w:pPr>
              <w:jc w:val="center"/>
            </w:pPr>
            <w:r>
              <w:rPr>
                <w:rFonts w:ascii="宋体" w:hAnsi="宋体" w:eastAsia="宋体"/>
                <w:sz w:val="16"/>
              </w:rPr>
              <w:t>323.92万元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0CAA1B">
            <w:pPr>
              <w:jc w:val="center"/>
            </w:pPr>
            <w:r>
              <w:rPr>
                <w:rFonts w:ascii="宋体" w:hAnsi="宋体" w:eastAsia="宋体"/>
                <w:sz w:val="16"/>
              </w:rPr>
              <w:t>15</w:t>
            </w:r>
          </w:p>
        </w:tc>
      </w:tr>
      <w:tr w14:paraId="074EBE0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60139B">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E2B0E76">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E758A4">
            <w:pPr>
              <w:jc w:val="center"/>
            </w:pPr>
            <w:r>
              <w:rPr>
                <w:rFonts w:ascii="宋体" w:hAnsi="宋体" w:eastAsia="宋体"/>
                <w:sz w:val="16"/>
              </w:rPr>
              <w:t>村级数量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4386C9">
            <w:pPr>
              <w:jc w:val="center"/>
            </w:pPr>
            <w:r>
              <w:rPr>
                <w:rFonts w:ascii="宋体" w:hAnsi="宋体" w:eastAsia="宋体"/>
                <w:sz w:val="16"/>
              </w:rPr>
              <w:t>=12个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BB086B">
            <w:pPr>
              <w:jc w:val="center"/>
            </w:pPr>
            <w:r>
              <w:rPr>
                <w:rFonts w:ascii="宋体" w:hAnsi="宋体" w:eastAsia="宋体"/>
                <w:sz w:val="16"/>
              </w:rPr>
              <w:t>村级花名册</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DF3135">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F7A084">
            <w:pPr>
              <w:jc w:val="center"/>
            </w:pPr>
            <w:r>
              <w:rPr>
                <w:rFonts w:ascii="宋体" w:hAnsi="宋体" w:eastAsia="宋体"/>
                <w:sz w:val="16"/>
              </w:rPr>
              <w:t>=12个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910573">
            <w:pPr>
              <w:jc w:val="center"/>
            </w:pPr>
            <w:r>
              <w:rPr>
                <w:rFonts w:ascii="宋体" w:hAnsi="宋体" w:eastAsia="宋体"/>
                <w:sz w:val="16"/>
              </w:rPr>
              <w:t>15</w:t>
            </w:r>
          </w:p>
        </w:tc>
      </w:tr>
      <w:tr w14:paraId="6410069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DB8D7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6D8D78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468B66">
            <w:pPr>
              <w:jc w:val="center"/>
            </w:pPr>
            <w:r>
              <w:rPr>
                <w:rFonts w:ascii="宋体" w:hAnsi="宋体" w:eastAsia="宋体"/>
                <w:sz w:val="16"/>
              </w:rPr>
              <w:t>村级民兵人数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C06F94">
            <w:pPr>
              <w:jc w:val="center"/>
            </w:pPr>
            <w:r>
              <w:rPr>
                <w:rFonts w:ascii="宋体" w:hAnsi="宋体" w:eastAsia="宋体"/>
                <w:sz w:val="16"/>
              </w:rPr>
              <w:t>&gt;=59个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711425">
            <w:pPr>
              <w:jc w:val="center"/>
            </w:pPr>
            <w:r>
              <w:rPr>
                <w:rFonts w:ascii="宋体" w:hAnsi="宋体" w:eastAsia="宋体"/>
                <w:sz w:val="16"/>
              </w:rPr>
              <w:t>2024年1月份村级民兵花名册</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04E8D2">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4F60E6">
            <w:pPr>
              <w:jc w:val="center"/>
            </w:pPr>
            <w:r>
              <w:rPr>
                <w:rFonts w:ascii="宋体" w:hAnsi="宋体" w:eastAsia="宋体"/>
                <w:sz w:val="16"/>
              </w:rPr>
              <w:t>=57个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937434">
            <w:pPr>
              <w:jc w:val="center"/>
            </w:pPr>
            <w:r>
              <w:rPr>
                <w:rFonts w:ascii="宋体" w:hAnsi="宋体" w:eastAsia="宋体"/>
                <w:sz w:val="16"/>
              </w:rPr>
              <w:t>14.49</w:t>
            </w:r>
          </w:p>
        </w:tc>
      </w:tr>
      <w:tr w14:paraId="72B7441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70787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31C03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4B3043">
            <w:pPr>
              <w:jc w:val="center"/>
            </w:pPr>
            <w:r>
              <w:rPr>
                <w:rFonts w:ascii="宋体" w:hAnsi="宋体" w:eastAsia="宋体"/>
                <w:sz w:val="16"/>
              </w:rPr>
              <w:t>开展各类培训活动场次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93126F">
            <w:pPr>
              <w:jc w:val="center"/>
            </w:pPr>
            <w:r>
              <w:rPr>
                <w:rFonts w:ascii="宋体" w:hAnsi="宋体" w:eastAsia="宋体"/>
                <w:sz w:val="16"/>
              </w:rPr>
              <w:t>&gt;=144次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F56732">
            <w:pPr>
              <w:jc w:val="center"/>
            </w:pPr>
            <w:r>
              <w:rPr>
                <w:rFonts w:ascii="宋体" w:hAnsi="宋体" w:eastAsia="宋体"/>
                <w:sz w:val="16"/>
              </w:rPr>
              <w:t>2024年开展培训计划表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4A423F">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D4F100">
            <w:pPr>
              <w:jc w:val="center"/>
            </w:pPr>
            <w:r>
              <w:rPr>
                <w:rFonts w:ascii="宋体" w:hAnsi="宋体" w:eastAsia="宋体"/>
                <w:sz w:val="16"/>
              </w:rPr>
              <w:t>=144次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FEEA9D">
            <w:pPr>
              <w:jc w:val="center"/>
            </w:pPr>
            <w:r>
              <w:rPr>
                <w:rFonts w:ascii="宋体" w:hAnsi="宋体" w:eastAsia="宋体"/>
                <w:sz w:val="16"/>
              </w:rPr>
              <w:t>15</w:t>
            </w:r>
          </w:p>
        </w:tc>
      </w:tr>
      <w:tr w14:paraId="548C3BF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70C5D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71627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650E9E">
            <w:pPr>
              <w:jc w:val="center"/>
            </w:pPr>
            <w:r>
              <w:rPr>
                <w:rFonts w:ascii="宋体" w:hAnsi="宋体" w:eastAsia="宋体"/>
                <w:sz w:val="16"/>
              </w:rPr>
              <w:t>2024年开展宣讲场次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D9C81D">
            <w:pPr>
              <w:jc w:val="center"/>
            </w:pPr>
            <w:r>
              <w:rPr>
                <w:rFonts w:ascii="宋体" w:hAnsi="宋体" w:eastAsia="宋体"/>
                <w:sz w:val="16"/>
              </w:rPr>
              <w:t>&gt;=432次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CB561D">
            <w:pPr>
              <w:jc w:val="center"/>
            </w:pPr>
            <w:r>
              <w:rPr>
                <w:rFonts w:ascii="宋体" w:hAnsi="宋体" w:eastAsia="宋体"/>
                <w:sz w:val="16"/>
              </w:rPr>
              <w:t>2024年开展宣讲计划表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683449">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050C0B">
            <w:pPr>
              <w:jc w:val="center"/>
            </w:pPr>
            <w:r>
              <w:rPr>
                <w:rFonts w:ascii="宋体" w:hAnsi="宋体" w:eastAsia="宋体"/>
                <w:sz w:val="16"/>
              </w:rPr>
              <w:t>=432次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FFCE10">
            <w:pPr>
              <w:jc w:val="center"/>
            </w:pPr>
            <w:r>
              <w:rPr>
                <w:rFonts w:ascii="宋体" w:hAnsi="宋体" w:eastAsia="宋体"/>
                <w:sz w:val="16"/>
              </w:rPr>
              <w:t>15</w:t>
            </w:r>
          </w:p>
        </w:tc>
      </w:tr>
    </w:tbl>
    <w:p w14:paraId="499EF743">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200956D">
        <w:tblPrEx>
          <w:tblCellMar>
            <w:top w:w="0" w:type="dxa"/>
            <w:left w:w="108" w:type="dxa"/>
            <w:bottom w:w="0" w:type="dxa"/>
            <w:right w:w="108" w:type="dxa"/>
          </w:tblCellMar>
        </w:tblPrEx>
        <w:tc>
          <w:tcPr>
            <w:tcW w:w="8847" w:type="dxa"/>
            <w:gridSpan w:val="9"/>
            <w:vAlign w:val="center"/>
          </w:tcPr>
          <w:p w14:paraId="7FFA0E40">
            <w:pPr>
              <w:jc w:val="center"/>
            </w:pPr>
            <w:r>
              <w:rPr>
                <w:rFonts w:ascii="宋体" w:hAnsi="宋体" w:eastAsia="宋体"/>
                <w:sz w:val="24"/>
              </w:rPr>
              <w:t>项目支出绩效自评表</w:t>
            </w:r>
          </w:p>
        </w:tc>
      </w:tr>
      <w:tr w14:paraId="25C7B371">
        <w:tblPrEx>
          <w:tblCellMar>
            <w:top w:w="0" w:type="dxa"/>
            <w:left w:w="108" w:type="dxa"/>
            <w:bottom w:w="0" w:type="dxa"/>
            <w:right w:w="108" w:type="dxa"/>
          </w:tblCellMar>
        </w:tblPrEx>
        <w:tc>
          <w:tcPr>
            <w:tcW w:w="8847" w:type="dxa"/>
            <w:gridSpan w:val="9"/>
            <w:vAlign w:val="center"/>
          </w:tcPr>
          <w:p w14:paraId="74463A0C">
            <w:pPr>
              <w:jc w:val="center"/>
            </w:pPr>
            <w:r>
              <w:rPr>
                <w:rFonts w:ascii="宋体" w:hAnsi="宋体" w:eastAsia="宋体"/>
                <w:sz w:val="24"/>
              </w:rPr>
              <w:t>(2024年度)</w:t>
            </w:r>
          </w:p>
        </w:tc>
      </w:tr>
      <w:tr w14:paraId="628B54D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63D7A2">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CA38A0D">
            <w:pPr>
              <w:jc w:val="center"/>
            </w:pPr>
            <w:r>
              <w:rPr>
                <w:rFonts w:ascii="宋体" w:hAnsi="宋体" w:eastAsia="宋体"/>
                <w:sz w:val="16"/>
              </w:rPr>
              <w:t>2024年英艾日克乡村级运转经费</w:t>
            </w:r>
          </w:p>
        </w:tc>
      </w:tr>
      <w:tr w14:paraId="0244809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6F36CF">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A91F104">
            <w:pPr>
              <w:jc w:val="center"/>
            </w:pPr>
            <w:r>
              <w:rPr>
                <w:rFonts w:ascii="宋体" w:hAnsi="宋体" w:eastAsia="宋体"/>
                <w:sz w:val="16"/>
              </w:rPr>
              <w:t>和田县英艾日克乡人民政府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30F464">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FA967FF">
            <w:pPr>
              <w:jc w:val="center"/>
            </w:pPr>
            <w:r>
              <w:rPr>
                <w:rFonts w:ascii="宋体" w:hAnsi="宋体" w:eastAsia="宋体"/>
                <w:sz w:val="16"/>
              </w:rPr>
              <w:t>和田县英艾日克乡人民政府</w:t>
            </w:r>
          </w:p>
        </w:tc>
      </w:tr>
      <w:tr w14:paraId="47E1007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4F0025A">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E68B17">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6B731E">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2E45FC">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4FF1C9">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460EBD">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6875F9">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92DE6A">
            <w:pPr>
              <w:jc w:val="center"/>
            </w:pPr>
            <w:r>
              <w:rPr>
                <w:rFonts w:ascii="宋体" w:hAnsi="宋体" w:eastAsia="宋体"/>
                <w:sz w:val="16"/>
              </w:rPr>
              <w:t>得分</w:t>
            </w:r>
          </w:p>
        </w:tc>
      </w:tr>
      <w:tr w14:paraId="32274B7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4AE8E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8E2F40">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EF0708">
            <w:pPr>
              <w:jc w:val="center"/>
            </w:pPr>
            <w:r>
              <w:rPr>
                <w:rFonts w:ascii="宋体" w:hAnsi="宋体" w:eastAsia="宋体"/>
                <w:sz w:val="16"/>
              </w:rPr>
              <w:t>132.00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84E226">
            <w:pPr>
              <w:jc w:val="center"/>
            </w:pPr>
            <w:r>
              <w:rPr>
                <w:rFonts w:ascii="宋体" w:hAnsi="宋体" w:eastAsia="宋体"/>
                <w:sz w:val="16"/>
              </w:rPr>
              <w:t>132.00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77A444">
            <w:pPr>
              <w:jc w:val="center"/>
            </w:pPr>
            <w:r>
              <w:rPr>
                <w:rFonts w:ascii="宋体" w:hAnsi="宋体" w:eastAsia="宋体"/>
                <w:sz w:val="16"/>
              </w:rPr>
              <w:t>105.41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A1A93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147C1F">
            <w:pPr>
              <w:jc w:val="center"/>
            </w:pPr>
            <w:r>
              <w:rPr>
                <w:rFonts w:ascii="宋体" w:hAnsi="宋体" w:eastAsia="宋体"/>
                <w:sz w:val="16"/>
              </w:rPr>
              <w:t xml:space="preserve">79.86%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0ECC4C">
            <w:pPr>
              <w:jc w:val="center"/>
            </w:pPr>
            <w:r>
              <w:rPr>
                <w:rFonts w:ascii="宋体" w:hAnsi="宋体" w:eastAsia="宋体"/>
                <w:sz w:val="16"/>
              </w:rPr>
              <w:t>4.96分</w:t>
            </w:r>
          </w:p>
        </w:tc>
      </w:tr>
      <w:tr w14:paraId="03E6405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49D2B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4B55AC">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E4F5A4">
            <w:pPr>
              <w:jc w:val="center"/>
            </w:pPr>
            <w:r>
              <w:rPr>
                <w:rFonts w:ascii="宋体" w:hAnsi="宋体" w:eastAsia="宋体"/>
                <w:sz w:val="16"/>
              </w:rPr>
              <w:t>132.00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B98231">
            <w:pPr>
              <w:jc w:val="center"/>
            </w:pPr>
            <w:r>
              <w:rPr>
                <w:rFonts w:ascii="宋体" w:hAnsi="宋体" w:eastAsia="宋体"/>
                <w:sz w:val="16"/>
              </w:rPr>
              <w:t>132.00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FB5CA">
            <w:pPr>
              <w:jc w:val="center"/>
            </w:pPr>
            <w:r>
              <w:rPr>
                <w:rFonts w:ascii="宋体" w:hAnsi="宋体" w:eastAsia="宋体"/>
                <w:sz w:val="16"/>
              </w:rPr>
              <w:t>105.41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53D5D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FB874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42F723">
            <w:pPr>
              <w:jc w:val="center"/>
            </w:pPr>
            <w:r>
              <w:rPr>
                <w:rFonts w:ascii="宋体" w:hAnsi="宋体" w:eastAsia="宋体"/>
                <w:sz w:val="16"/>
              </w:rPr>
              <w:t>—</w:t>
            </w:r>
          </w:p>
        </w:tc>
      </w:tr>
      <w:tr w14:paraId="0037107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DE9BB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D735F3">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C582E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C236E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B0A67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5B6EE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45D89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547475">
            <w:pPr>
              <w:jc w:val="center"/>
            </w:pPr>
            <w:r>
              <w:rPr>
                <w:rFonts w:ascii="宋体" w:hAnsi="宋体" w:eastAsia="宋体"/>
                <w:sz w:val="16"/>
              </w:rPr>
              <w:t>—</w:t>
            </w:r>
          </w:p>
        </w:tc>
      </w:tr>
      <w:tr w14:paraId="3C42353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0535F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C18482">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74CA7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70251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D8FBC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70980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65572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C694E6">
            <w:pPr>
              <w:jc w:val="center"/>
            </w:pPr>
            <w:r>
              <w:rPr>
                <w:rFonts w:ascii="宋体" w:hAnsi="宋体" w:eastAsia="宋体"/>
                <w:sz w:val="16"/>
              </w:rPr>
              <w:t>—</w:t>
            </w:r>
          </w:p>
        </w:tc>
      </w:tr>
      <w:tr w14:paraId="1691FF7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BAB1B21">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E482667">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7DBC63C">
            <w:pPr>
              <w:jc w:val="center"/>
            </w:pPr>
            <w:r>
              <w:rPr>
                <w:rFonts w:ascii="宋体" w:hAnsi="宋体" w:eastAsia="宋体"/>
                <w:sz w:val="16"/>
              </w:rPr>
              <w:t>实际完成情况</w:t>
            </w:r>
          </w:p>
        </w:tc>
      </w:tr>
      <w:tr w14:paraId="1F6184B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E90D50"/>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0DFB6E0">
            <w:pPr>
              <w:jc w:val="both"/>
            </w:pPr>
            <w:r>
              <w:rPr>
                <w:rFonts w:ascii="宋体" w:hAnsi="宋体" w:eastAsia="宋体"/>
                <w:sz w:val="16"/>
              </w:rPr>
              <w:t>目标1:本项目用于辖区内15个村委会运转经费，保障日常电费、水费</w:t>
            </w:r>
            <w:r>
              <w:rPr>
                <w:rFonts w:hint="eastAsia" w:ascii="宋体" w:hAnsi="宋体"/>
                <w:sz w:val="16"/>
                <w:lang w:eastAsia="zh-CN"/>
              </w:rPr>
              <w:t>及</w:t>
            </w:r>
            <w:r>
              <w:rPr>
                <w:rFonts w:ascii="宋体" w:hAnsi="宋体" w:eastAsia="宋体"/>
                <w:sz w:val="16"/>
              </w:rPr>
              <w:t>村办公经费支出，每村每年11万元，全年共计1320000元。</w:t>
            </w:r>
            <w:r>
              <w:rPr>
                <w:rFonts w:ascii="宋体" w:hAnsi="宋体" w:eastAsia="宋体"/>
                <w:sz w:val="16"/>
              </w:rPr>
              <w:br w:type="textWrapping"/>
            </w:r>
            <w:r>
              <w:rPr>
                <w:rFonts w:ascii="宋体" w:hAnsi="宋体" w:eastAsia="宋体"/>
                <w:sz w:val="16"/>
              </w:rPr>
              <w:t>目标2：通过项目实施保障村组织正常运转。有效</w:t>
            </w:r>
            <w:r>
              <w:rPr>
                <w:rFonts w:hint="eastAsia" w:ascii="宋体" w:hAnsi="宋体"/>
                <w:sz w:val="16"/>
                <w:lang w:eastAsia="zh-CN"/>
              </w:rPr>
              <w:t>地</w:t>
            </w:r>
            <w:r>
              <w:rPr>
                <w:rFonts w:ascii="宋体" w:hAnsi="宋体" w:eastAsia="宋体"/>
                <w:sz w:val="16"/>
              </w:rPr>
              <w:t>保障新疆广大干部职工和各族人民群众的切身利益，保障村委会工作正常开展，提高村委会发挥</w:t>
            </w:r>
            <w:r>
              <w:rPr>
                <w:rFonts w:hint="eastAsia" w:ascii="宋体" w:hAnsi="宋体"/>
                <w:sz w:val="16"/>
                <w:lang w:eastAsia="zh-CN"/>
              </w:rPr>
              <w:t>职能</w:t>
            </w:r>
            <w:r>
              <w:rPr>
                <w:rFonts w:ascii="宋体" w:hAnsi="宋体" w:eastAsia="宋体"/>
                <w:sz w:val="16"/>
              </w:rPr>
              <w:t>效应，促进和田县色格孜库勒乡各项事业稳步发展。项目建设可有效发挥村委会智能效应保护人民群众利益的作用，保持社会持续稳定，使社会生活处于有序可控制状态。</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A808754">
            <w:pPr>
              <w:jc w:val="both"/>
            </w:pPr>
            <w:r>
              <w:rPr>
                <w:rFonts w:hint="eastAsia" w:ascii="宋体" w:hAnsi="宋体"/>
                <w:sz w:val="16"/>
                <w:lang w:eastAsia="zh-CN"/>
              </w:rPr>
              <w:t>截至2024</w:t>
            </w:r>
            <w:r>
              <w:rPr>
                <w:rFonts w:ascii="宋体" w:hAnsi="宋体" w:eastAsia="宋体"/>
                <w:sz w:val="16"/>
              </w:rPr>
              <w:t>年12月31日，本项资金执行率79.86%，用于辖区内12个村委会运转经费，保障日常电费、水费</w:t>
            </w:r>
            <w:r>
              <w:rPr>
                <w:rFonts w:hint="eastAsia" w:ascii="宋体" w:hAnsi="宋体"/>
                <w:sz w:val="16"/>
                <w:lang w:eastAsia="zh-CN"/>
              </w:rPr>
              <w:t>及</w:t>
            </w:r>
            <w:r>
              <w:rPr>
                <w:rFonts w:ascii="宋体" w:hAnsi="宋体" w:eastAsia="宋体"/>
                <w:sz w:val="16"/>
              </w:rPr>
              <w:t>村办公经费支出，全年共</w:t>
            </w:r>
            <w:r>
              <w:rPr>
                <w:rFonts w:hint="eastAsia" w:ascii="宋体" w:hAnsi="宋体"/>
                <w:sz w:val="16"/>
                <w:lang w:eastAsia="zh-CN"/>
              </w:rPr>
              <w:t>支出</w:t>
            </w:r>
            <w:r>
              <w:rPr>
                <w:rFonts w:ascii="宋体" w:hAnsi="宋体" w:eastAsia="宋体"/>
                <w:sz w:val="16"/>
              </w:rPr>
              <w:t>105.41万元。</w:t>
            </w:r>
            <w:r>
              <w:rPr>
                <w:rFonts w:ascii="宋体" w:hAnsi="宋体" w:eastAsia="宋体"/>
                <w:sz w:val="16"/>
              </w:rPr>
              <w:br w:type="textWrapping"/>
            </w:r>
            <w:r>
              <w:rPr>
                <w:rFonts w:ascii="宋体" w:hAnsi="宋体" w:eastAsia="宋体"/>
                <w:sz w:val="16"/>
              </w:rPr>
              <w:t>通过项目实施保障村组织正常运转。保障了新疆广大干部职工和各族人民群众的切身利益，切实保障了村委会工作正常开展，并提高村委会发挥</w:t>
            </w:r>
            <w:r>
              <w:rPr>
                <w:rFonts w:hint="eastAsia" w:ascii="宋体" w:hAnsi="宋体"/>
                <w:sz w:val="16"/>
                <w:lang w:eastAsia="zh-CN"/>
              </w:rPr>
              <w:t>职能</w:t>
            </w:r>
            <w:r>
              <w:rPr>
                <w:rFonts w:ascii="宋体" w:hAnsi="宋体" w:eastAsia="宋体"/>
                <w:sz w:val="16"/>
              </w:rPr>
              <w:t>效应，促进和田县英艾日克乡各项事业稳步发展。有效发挥村委会智能效应保护人民群众利益的作用，保持了社会持续</w:t>
            </w:r>
            <w:bookmarkStart w:id="0" w:name="_GoBack"/>
            <w:r>
              <w:rPr>
                <w:rFonts w:ascii="宋体" w:hAnsi="宋体" w:eastAsia="宋体"/>
                <w:sz w:val="16"/>
              </w:rPr>
              <w:t>稳定</w:t>
            </w:r>
            <w:bookmarkEnd w:id="0"/>
            <w:r>
              <w:rPr>
                <w:rFonts w:ascii="宋体" w:hAnsi="宋体" w:eastAsia="宋体"/>
                <w:sz w:val="16"/>
              </w:rPr>
              <w:t>，使社会生活处于有序可控制状态。</w:t>
            </w:r>
          </w:p>
        </w:tc>
      </w:tr>
      <w:tr w14:paraId="67AAB62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6B79898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AA68EF">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386698">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294FC8">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C47DA3">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0CAE5E">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F36949">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39B359">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811394">
            <w:pPr>
              <w:jc w:val="center"/>
            </w:pPr>
            <w:r>
              <w:rPr>
                <w:rFonts w:ascii="宋体" w:hAnsi="宋体" w:eastAsia="宋体"/>
                <w:sz w:val="16"/>
              </w:rPr>
              <w:t>偏差原因分析及改进措施</w:t>
            </w:r>
          </w:p>
        </w:tc>
      </w:tr>
      <w:tr w14:paraId="2C15121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06F66AA">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0195C0">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69141B">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BD9B7B">
            <w:pPr>
              <w:jc w:val="center"/>
            </w:pPr>
            <w:r>
              <w:rPr>
                <w:rFonts w:ascii="宋体" w:hAnsi="宋体" w:eastAsia="宋体"/>
                <w:sz w:val="16"/>
              </w:rPr>
              <w:t>乡镇村委员会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19DFD5">
            <w:pPr>
              <w:jc w:val="center"/>
            </w:pPr>
            <w:r>
              <w:rPr>
                <w:rFonts w:ascii="宋体" w:hAnsi="宋体" w:eastAsia="宋体"/>
                <w:sz w:val="16"/>
              </w:rPr>
              <w:t>=12个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601090">
            <w:pPr>
              <w:jc w:val="center"/>
            </w:pPr>
            <w:r>
              <w:rPr>
                <w:rFonts w:ascii="宋体" w:hAnsi="宋体" w:eastAsia="宋体"/>
                <w:sz w:val="16"/>
              </w:rPr>
              <w:t>=12个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1F210F">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4CD495">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313895">
            <w:pPr>
              <w:jc w:val="center"/>
            </w:pPr>
          </w:p>
        </w:tc>
      </w:tr>
      <w:tr w14:paraId="7A4A077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DE0FE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A21092"/>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3DD45C">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A98C3D">
            <w:pPr>
              <w:jc w:val="center"/>
            </w:pPr>
            <w:r>
              <w:rPr>
                <w:rFonts w:ascii="宋体" w:hAnsi="宋体" w:eastAsia="宋体"/>
                <w:sz w:val="16"/>
              </w:rPr>
              <w:t>乡镇村委会覆盖率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E6203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99250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86861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EA41C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ED025D">
            <w:pPr>
              <w:jc w:val="center"/>
            </w:pPr>
          </w:p>
        </w:tc>
      </w:tr>
      <w:tr w14:paraId="233967F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FDB6C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E92E6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626AA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F3B4CB">
            <w:pPr>
              <w:jc w:val="center"/>
            </w:pPr>
            <w:r>
              <w:rPr>
                <w:rFonts w:ascii="宋体" w:hAnsi="宋体" w:eastAsia="宋体"/>
                <w:sz w:val="16"/>
              </w:rPr>
              <w:t>资金保障率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0634F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25853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3057BC">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B81567">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C7DF99">
            <w:pPr>
              <w:jc w:val="center"/>
            </w:pPr>
            <w:r>
              <w:rPr>
                <w:rFonts w:ascii="宋体" w:hAnsi="宋体" w:eastAsia="宋体"/>
                <w:sz w:val="16"/>
              </w:rPr>
              <w:t>财政局未下拨资金</w:t>
            </w:r>
          </w:p>
        </w:tc>
      </w:tr>
      <w:tr w14:paraId="76D4948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C0771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1B4129"/>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3471C07">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F31337">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BB5E88">
            <w:pPr>
              <w:jc w:val="center"/>
            </w:pPr>
            <w:r>
              <w:rPr>
                <w:rFonts w:ascii="宋体" w:hAnsi="宋体" w:eastAsia="宋体"/>
                <w:sz w:val="16"/>
              </w:rPr>
              <w:t>2024年12月31日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C6F780">
            <w:pPr>
              <w:jc w:val="center"/>
            </w:pPr>
            <w:r>
              <w:rPr>
                <w:rFonts w:ascii="宋体" w:hAnsi="宋体" w:eastAsia="宋体"/>
                <w:sz w:val="16"/>
              </w:rPr>
              <w:t>=2024年12月31日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74A32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06E86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67BE94">
            <w:pPr>
              <w:jc w:val="center"/>
            </w:pPr>
          </w:p>
        </w:tc>
      </w:tr>
      <w:tr w14:paraId="71D6BC5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65382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2C339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00E20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0AADD1">
            <w:pPr>
              <w:jc w:val="center"/>
            </w:pPr>
            <w:r>
              <w:rPr>
                <w:rFonts w:ascii="宋体" w:hAnsi="宋体" w:eastAsia="宋体"/>
                <w:sz w:val="16"/>
              </w:rPr>
              <w:t>经费支付及时性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40C6E9">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35C22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270F4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B251D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FA95F3">
            <w:pPr>
              <w:jc w:val="center"/>
            </w:pPr>
          </w:p>
        </w:tc>
      </w:tr>
      <w:tr w14:paraId="37F1BB1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E1A42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5A270D">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28E0215">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448011">
            <w:pPr>
              <w:jc w:val="center"/>
            </w:pPr>
            <w:r>
              <w:rPr>
                <w:rFonts w:ascii="宋体" w:hAnsi="宋体" w:eastAsia="宋体"/>
                <w:sz w:val="16"/>
              </w:rPr>
              <w:t>村级运转经费标准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528465">
            <w:pPr>
              <w:jc w:val="center"/>
            </w:pPr>
            <w:r>
              <w:rPr>
                <w:rFonts w:ascii="宋体" w:hAnsi="宋体" w:eastAsia="宋体"/>
                <w:sz w:val="16"/>
              </w:rPr>
              <w:t>&lt;=11万元/月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129E73">
            <w:pPr>
              <w:jc w:val="center"/>
            </w:pPr>
            <w:r>
              <w:rPr>
                <w:rFonts w:ascii="宋体" w:hAnsi="宋体" w:eastAsia="宋体"/>
                <w:sz w:val="16"/>
              </w:rPr>
              <w:t>=8.7846万元/月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D87A0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3CF017">
            <w:pPr>
              <w:jc w:val="center"/>
            </w:pPr>
            <w:r>
              <w:rPr>
                <w:rFonts w:ascii="宋体" w:hAnsi="宋体" w:eastAsia="宋体"/>
                <w:sz w:val="16"/>
              </w:rPr>
              <w:t>4.96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7AF830">
            <w:pPr>
              <w:jc w:val="center"/>
            </w:pPr>
            <w:r>
              <w:rPr>
                <w:rFonts w:ascii="宋体" w:hAnsi="宋体" w:eastAsia="宋体"/>
                <w:sz w:val="16"/>
              </w:rPr>
              <w:t>偏差原因：项目为节约成本，提高资金使用效率，以低成本完成项目建设，导致出现偏差。</w:t>
            </w:r>
          </w:p>
        </w:tc>
      </w:tr>
      <w:tr w14:paraId="02B2346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55865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431B17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02127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490B65">
            <w:pPr>
              <w:jc w:val="center"/>
            </w:pPr>
            <w:r>
              <w:rPr>
                <w:rFonts w:ascii="宋体" w:hAnsi="宋体" w:eastAsia="宋体"/>
                <w:sz w:val="16"/>
              </w:rPr>
              <w:t>村级运转经费总金额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35E293">
            <w:pPr>
              <w:jc w:val="center"/>
            </w:pPr>
            <w:r>
              <w:rPr>
                <w:rFonts w:ascii="宋体" w:hAnsi="宋体" w:eastAsia="宋体"/>
                <w:sz w:val="16"/>
              </w:rPr>
              <w:t>&lt;=132万元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E4EF2B">
            <w:pPr>
              <w:jc w:val="center"/>
            </w:pPr>
            <w:r>
              <w:rPr>
                <w:rFonts w:ascii="宋体" w:hAnsi="宋体" w:eastAsia="宋体"/>
                <w:sz w:val="16"/>
              </w:rPr>
              <w:t>=105.41万元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D8478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48C2F0">
            <w:pPr>
              <w:jc w:val="center"/>
            </w:pPr>
            <w:r>
              <w:rPr>
                <w:rFonts w:ascii="宋体" w:hAnsi="宋体" w:eastAsia="宋体"/>
                <w:sz w:val="16"/>
              </w:rPr>
              <w:t>4.96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C61A3C">
            <w:pPr>
              <w:jc w:val="center"/>
            </w:pPr>
            <w:r>
              <w:rPr>
                <w:rFonts w:ascii="宋体" w:hAnsi="宋体" w:eastAsia="宋体"/>
                <w:sz w:val="16"/>
              </w:rPr>
              <w:t>偏差原因：项目为节约成本，提高资金使用效率，以低成本完成项目建设，导致出现偏差。</w:t>
            </w:r>
          </w:p>
        </w:tc>
      </w:tr>
      <w:tr w14:paraId="57FB22E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3A7EF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4E40A1">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DF700FB">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03456B">
            <w:pPr>
              <w:jc w:val="center"/>
            </w:pPr>
            <w:r>
              <w:rPr>
                <w:rFonts w:ascii="宋体" w:hAnsi="宋体" w:eastAsia="宋体"/>
                <w:sz w:val="16"/>
              </w:rPr>
              <w:t>有效提升为民办实事效率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61E729">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F64C2F">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0104A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1FA38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C6274E">
            <w:pPr>
              <w:jc w:val="center"/>
            </w:pPr>
          </w:p>
        </w:tc>
      </w:tr>
      <w:tr w14:paraId="0A54182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663221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2091C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8781E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69AA94">
            <w:pPr>
              <w:jc w:val="center"/>
            </w:pPr>
            <w:r>
              <w:rPr>
                <w:rFonts w:ascii="宋体" w:hAnsi="宋体" w:eastAsia="宋体"/>
                <w:sz w:val="16"/>
              </w:rPr>
              <w:t>有效保障村级正常运行</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0C4B32">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DEB354">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4E246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8CED4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AA322A">
            <w:pPr>
              <w:jc w:val="center"/>
            </w:pPr>
          </w:p>
        </w:tc>
      </w:tr>
      <w:tr w14:paraId="1A10EA4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B542F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97D8B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DE01B1">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88CDA1">
            <w:pPr>
              <w:jc w:val="center"/>
            </w:pPr>
            <w:r>
              <w:rPr>
                <w:rFonts w:ascii="宋体" w:hAnsi="宋体" w:eastAsia="宋体"/>
                <w:sz w:val="16"/>
              </w:rPr>
              <w:t>村委会满意度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69DF53">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70B02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2A8B3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DEAAA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92CBB0">
            <w:pPr>
              <w:jc w:val="center"/>
            </w:pPr>
            <w:r>
              <w:rPr>
                <w:rFonts w:ascii="宋体" w:hAnsi="宋体" w:eastAsia="宋体"/>
                <w:sz w:val="16"/>
              </w:rPr>
              <w:t>偏差原因：因本项目实施较好，满意度超出预期，造成偏差。</w:t>
            </w:r>
          </w:p>
        </w:tc>
      </w:tr>
      <w:tr w14:paraId="402C9DD3">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5B40479">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672F02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8F7D2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2EEFC2">
            <w:pPr>
              <w:jc w:val="center"/>
            </w:pPr>
            <w:r>
              <w:rPr>
                <w:rFonts w:ascii="宋体" w:hAnsi="宋体" w:eastAsia="宋体"/>
                <w:sz w:val="16"/>
              </w:rPr>
              <w:t>84.88分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A1F8986"/>
        </w:tc>
      </w:tr>
    </w:tbl>
    <w:p w14:paraId="5AE12A97">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7D87BB2">
        <w:tblPrEx>
          <w:tblCellMar>
            <w:top w:w="0" w:type="dxa"/>
            <w:left w:w="108" w:type="dxa"/>
            <w:bottom w:w="0" w:type="dxa"/>
            <w:right w:w="108" w:type="dxa"/>
          </w:tblCellMar>
        </w:tblPrEx>
        <w:tc>
          <w:tcPr>
            <w:tcW w:w="8847" w:type="dxa"/>
            <w:gridSpan w:val="9"/>
            <w:vAlign w:val="center"/>
          </w:tcPr>
          <w:p w14:paraId="241762E4">
            <w:pPr>
              <w:jc w:val="center"/>
            </w:pPr>
            <w:r>
              <w:rPr>
                <w:rFonts w:ascii="宋体" w:hAnsi="宋体" w:eastAsia="宋体"/>
                <w:sz w:val="24"/>
              </w:rPr>
              <w:t>项目支出绩效自评表</w:t>
            </w:r>
          </w:p>
        </w:tc>
      </w:tr>
      <w:tr w14:paraId="65D2A619">
        <w:tblPrEx>
          <w:tblCellMar>
            <w:top w:w="0" w:type="dxa"/>
            <w:left w:w="108" w:type="dxa"/>
            <w:bottom w:w="0" w:type="dxa"/>
            <w:right w:w="108" w:type="dxa"/>
          </w:tblCellMar>
        </w:tblPrEx>
        <w:tc>
          <w:tcPr>
            <w:tcW w:w="8847" w:type="dxa"/>
            <w:gridSpan w:val="9"/>
            <w:vAlign w:val="center"/>
          </w:tcPr>
          <w:p w14:paraId="3C9777E5">
            <w:pPr>
              <w:jc w:val="center"/>
            </w:pPr>
            <w:r>
              <w:rPr>
                <w:rFonts w:ascii="宋体" w:hAnsi="宋体" w:eastAsia="宋体"/>
                <w:sz w:val="24"/>
              </w:rPr>
              <w:t>(2024年度)</w:t>
            </w:r>
          </w:p>
        </w:tc>
      </w:tr>
      <w:tr w14:paraId="27B3B125">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BE5217">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50E9B7A">
            <w:pPr>
              <w:jc w:val="center"/>
            </w:pPr>
            <w:r>
              <w:rPr>
                <w:rFonts w:ascii="宋体" w:hAnsi="宋体" w:eastAsia="宋体"/>
                <w:sz w:val="16"/>
              </w:rPr>
              <w:t>2024年英艾日克乡民兵生活补助</w:t>
            </w:r>
          </w:p>
        </w:tc>
      </w:tr>
      <w:tr w14:paraId="22C1D50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3A083B">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80C27DD">
            <w:pPr>
              <w:jc w:val="center"/>
            </w:pPr>
            <w:r>
              <w:rPr>
                <w:rFonts w:ascii="宋体" w:hAnsi="宋体" w:eastAsia="宋体"/>
                <w:sz w:val="16"/>
              </w:rPr>
              <w:t>和田县英艾日克乡人民政府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E8110D">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2683BDC">
            <w:pPr>
              <w:jc w:val="center"/>
            </w:pPr>
            <w:r>
              <w:rPr>
                <w:rFonts w:ascii="宋体" w:hAnsi="宋体" w:eastAsia="宋体"/>
                <w:sz w:val="16"/>
              </w:rPr>
              <w:t>和田县英艾日克乡人民政府</w:t>
            </w:r>
          </w:p>
        </w:tc>
      </w:tr>
      <w:tr w14:paraId="54E2E9E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5B79B9">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36D01D">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FBF662">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4E8D60">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5A4510">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7A7308">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44F257">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7CF438">
            <w:pPr>
              <w:jc w:val="center"/>
            </w:pPr>
            <w:r>
              <w:rPr>
                <w:rFonts w:ascii="宋体" w:hAnsi="宋体" w:eastAsia="宋体"/>
                <w:sz w:val="16"/>
              </w:rPr>
              <w:t>得分</w:t>
            </w:r>
          </w:p>
        </w:tc>
      </w:tr>
      <w:tr w14:paraId="02164B1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F55F6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F99619">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1ABB07">
            <w:pPr>
              <w:jc w:val="center"/>
            </w:pPr>
            <w:r>
              <w:rPr>
                <w:rFonts w:ascii="宋体" w:hAnsi="宋体" w:eastAsia="宋体"/>
                <w:sz w:val="16"/>
              </w:rPr>
              <w:t>59.10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F9C9BD">
            <w:pPr>
              <w:jc w:val="center"/>
            </w:pPr>
            <w:r>
              <w:rPr>
                <w:rFonts w:ascii="宋体" w:hAnsi="宋体" w:eastAsia="宋体"/>
                <w:sz w:val="16"/>
              </w:rPr>
              <w:t>59.10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32CFDF">
            <w:pPr>
              <w:jc w:val="center"/>
            </w:pPr>
            <w:r>
              <w:rPr>
                <w:rFonts w:ascii="宋体" w:hAnsi="宋体" w:eastAsia="宋体"/>
                <w:sz w:val="16"/>
              </w:rPr>
              <w:t>59.06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DC036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99C708">
            <w:pPr>
              <w:jc w:val="center"/>
            </w:pPr>
            <w:r>
              <w:rPr>
                <w:rFonts w:ascii="宋体" w:hAnsi="宋体" w:eastAsia="宋体"/>
                <w:sz w:val="16"/>
              </w:rPr>
              <w:t xml:space="preserve">99.93%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161C2">
            <w:pPr>
              <w:jc w:val="center"/>
            </w:pPr>
            <w:r>
              <w:rPr>
                <w:rFonts w:ascii="宋体" w:hAnsi="宋体" w:eastAsia="宋体"/>
                <w:sz w:val="16"/>
              </w:rPr>
              <w:t>10.00分</w:t>
            </w:r>
          </w:p>
        </w:tc>
      </w:tr>
      <w:tr w14:paraId="00D37F5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30B11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F1DADB">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C3DE36">
            <w:pPr>
              <w:jc w:val="center"/>
            </w:pPr>
            <w:r>
              <w:rPr>
                <w:rFonts w:ascii="宋体" w:hAnsi="宋体" w:eastAsia="宋体"/>
                <w:sz w:val="16"/>
              </w:rPr>
              <w:t>59.10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44A074">
            <w:pPr>
              <w:jc w:val="center"/>
            </w:pPr>
            <w:r>
              <w:rPr>
                <w:rFonts w:ascii="宋体" w:hAnsi="宋体" w:eastAsia="宋体"/>
                <w:sz w:val="16"/>
              </w:rPr>
              <w:t>59.10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948ED3">
            <w:pPr>
              <w:jc w:val="center"/>
            </w:pPr>
            <w:r>
              <w:rPr>
                <w:rFonts w:ascii="宋体" w:hAnsi="宋体" w:eastAsia="宋体"/>
                <w:sz w:val="16"/>
              </w:rPr>
              <w:t>59.06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839DE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72B3C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69AA33">
            <w:pPr>
              <w:jc w:val="center"/>
            </w:pPr>
            <w:r>
              <w:rPr>
                <w:rFonts w:ascii="宋体" w:hAnsi="宋体" w:eastAsia="宋体"/>
                <w:sz w:val="16"/>
              </w:rPr>
              <w:t>—</w:t>
            </w:r>
          </w:p>
        </w:tc>
      </w:tr>
      <w:tr w14:paraId="13DFC09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086FE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493E21">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1F7CC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398A2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2B690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DBC0B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66A35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49A0E8">
            <w:pPr>
              <w:jc w:val="center"/>
            </w:pPr>
            <w:r>
              <w:rPr>
                <w:rFonts w:ascii="宋体" w:hAnsi="宋体" w:eastAsia="宋体"/>
                <w:sz w:val="16"/>
              </w:rPr>
              <w:t>—</w:t>
            </w:r>
          </w:p>
        </w:tc>
      </w:tr>
      <w:tr w14:paraId="53EEBEF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A5E50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014C4A">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DAD66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A1B27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F3CC8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66E0A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FE53C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671230">
            <w:pPr>
              <w:jc w:val="center"/>
            </w:pPr>
            <w:r>
              <w:rPr>
                <w:rFonts w:ascii="宋体" w:hAnsi="宋体" w:eastAsia="宋体"/>
                <w:sz w:val="16"/>
              </w:rPr>
              <w:t>—</w:t>
            </w:r>
          </w:p>
        </w:tc>
      </w:tr>
      <w:tr w14:paraId="2FE7591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CABD03">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E5EE4B2">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E4A35D8">
            <w:pPr>
              <w:jc w:val="center"/>
            </w:pPr>
            <w:r>
              <w:rPr>
                <w:rFonts w:ascii="宋体" w:hAnsi="宋体" w:eastAsia="宋体"/>
                <w:sz w:val="16"/>
              </w:rPr>
              <w:t>实际完成情况</w:t>
            </w:r>
          </w:p>
        </w:tc>
      </w:tr>
      <w:tr w14:paraId="24F8E25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1EDC46"/>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966922A">
            <w:pPr>
              <w:jc w:val="both"/>
            </w:pPr>
            <w:r>
              <w:rPr>
                <w:rFonts w:ascii="宋体" w:hAnsi="宋体" w:eastAsia="宋体"/>
                <w:sz w:val="16"/>
              </w:rPr>
              <w:t>该项目用于我乡保障村级民兵生活补助59名，补助标准：衔接资金财政承担12人，每人100元；援疆资金财政承担9人，每人519元；就业专项资金财政承担16人，每人511元；财政全额发放部分22人，每人1600元。项目的实施有效</w:t>
            </w:r>
            <w:r>
              <w:rPr>
                <w:rFonts w:hint="eastAsia" w:ascii="宋体" w:hAnsi="宋体"/>
                <w:sz w:val="16"/>
                <w:lang w:eastAsia="zh-CN"/>
              </w:rPr>
              <w:t>地</w:t>
            </w:r>
            <w:r>
              <w:rPr>
                <w:rFonts w:ascii="宋体" w:hAnsi="宋体" w:eastAsia="宋体"/>
                <w:sz w:val="16"/>
              </w:rPr>
              <w:t>保障辖区广大干部职工和各族人民群众的切身利益，保障村委会工作正常开展，提高村委会发挥</w:t>
            </w:r>
            <w:r>
              <w:rPr>
                <w:rFonts w:hint="eastAsia" w:ascii="宋体" w:hAnsi="宋体"/>
                <w:sz w:val="16"/>
                <w:lang w:eastAsia="zh-CN"/>
              </w:rPr>
              <w:t>职能</w:t>
            </w:r>
            <w:r>
              <w:rPr>
                <w:rFonts w:ascii="宋体" w:hAnsi="宋体" w:eastAsia="宋体"/>
                <w:sz w:val="16"/>
              </w:rPr>
              <w:t>效应，促进各项事业稳步发展。</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264542A">
            <w:pPr>
              <w:jc w:val="both"/>
            </w:pPr>
            <w:r>
              <w:rPr>
                <w:rFonts w:hint="eastAsia" w:ascii="宋体" w:hAnsi="宋体"/>
                <w:sz w:val="16"/>
                <w:lang w:eastAsia="zh-CN"/>
              </w:rPr>
              <w:t>截至</w:t>
            </w:r>
            <w:r>
              <w:rPr>
                <w:rFonts w:ascii="宋体" w:hAnsi="宋体" w:eastAsia="宋体"/>
                <w:sz w:val="16"/>
              </w:rPr>
              <w:t>2024年12月31日，完成发放我乡59名村级民兵生活补助，全年共计发放59.06万元。该项目的实施有效</w:t>
            </w:r>
            <w:r>
              <w:rPr>
                <w:rFonts w:hint="eastAsia" w:ascii="宋体" w:hAnsi="宋体"/>
                <w:sz w:val="16"/>
                <w:lang w:eastAsia="zh-CN"/>
              </w:rPr>
              <w:t>地</w:t>
            </w:r>
            <w:r>
              <w:rPr>
                <w:rFonts w:ascii="宋体" w:hAnsi="宋体" w:eastAsia="宋体"/>
                <w:sz w:val="16"/>
              </w:rPr>
              <w:t>保障了辖区广大干部职工和各族人民群众的切身利益，并保障村委会工作正常开展，提高了村委会发挥</w:t>
            </w:r>
            <w:r>
              <w:rPr>
                <w:rFonts w:hint="eastAsia" w:ascii="宋体" w:hAnsi="宋体"/>
                <w:sz w:val="16"/>
                <w:lang w:eastAsia="zh-CN"/>
              </w:rPr>
              <w:t>职能</w:t>
            </w:r>
            <w:r>
              <w:rPr>
                <w:rFonts w:ascii="宋体" w:hAnsi="宋体" w:eastAsia="宋体"/>
                <w:sz w:val="16"/>
              </w:rPr>
              <w:t>效应，促进了我乡各项事业稳步发展。</w:t>
            </w:r>
          </w:p>
        </w:tc>
      </w:tr>
      <w:tr w14:paraId="04F6E50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D75FC0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80ED1C">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615195">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EBE7A4">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4D461B">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9163C5">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25685C">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DC94DA">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C27C68">
            <w:pPr>
              <w:jc w:val="center"/>
            </w:pPr>
            <w:r>
              <w:rPr>
                <w:rFonts w:ascii="宋体" w:hAnsi="宋体" w:eastAsia="宋体"/>
                <w:sz w:val="16"/>
              </w:rPr>
              <w:t>偏差原因分析及改进措施</w:t>
            </w:r>
          </w:p>
        </w:tc>
      </w:tr>
      <w:tr w14:paraId="6865F46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FC312A">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16080F">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3E1785B">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99DE6D">
            <w:pPr>
              <w:jc w:val="center"/>
            </w:pPr>
            <w:r>
              <w:rPr>
                <w:rFonts w:ascii="宋体" w:hAnsi="宋体" w:eastAsia="宋体"/>
                <w:sz w:val="16"/>
              </w:rPr>
              <w:t>村级民兵生活补助人数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664A24">
            <w:pPr>
              <w:jc w:val="center"/>
            </w:pPr>
            <w:r>
              <w:rPr>
                <w:rFonts w:ascii="宋体" w:hAnsi="宋体" w:eastAsia="宋体"/>
                <w:sz w:val="16"/>
              </w:rPr>
              <w:t>&gt;=59人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0C648A">
            <w:pPr>
              <w:jc w:val="center"/>
            </w:pPr>
            <w:r>
              <w:rPr>
                <w:rFonts w:ascii="宋体" w:hAnsi="宋体" w:eastAsia="宋体"/>
                <w:sz w:val="16"/>
              </w:rPr>
              <w:t>=59人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59B19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01741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458EE8">
            <w:pPr>
              <w:jc w:val="center"/>
            </w:pPr>
          </w:p>
        </w:tc>
      </w:tr>
      <w:tr w14:paraId="60A372E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9E7A8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3BDA8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FB2B9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BEA3F0">
            <w:pPr>
              <w:jc w:val="center"/>
            </w:pPr>
            <w:r>
              <w:rPr>
                <w:rFonts w:ascii="宋体" w:hAnsi="宋体" w:eastAsia="宋体"/>
                <w:sz w:val="16"/>
              </w:rPr>
              <w:t>涉及村委会数量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C1593D">
            <w:pPr>
              <w:jc w:val="center"/>
            </w:pPr>
            <w:r>
              <w:rPr>
                <w:rFonts w:ascii="宋体" w:hAnsi="宋体" w:eastAsia="宋体"/>
                <w:sz w:val="16"/>
              </w:rPr>
              <w:t>=12个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BE8B83">
            <w:pPr>
              <w:jc w:val="center"/>
            </w:pPr>
            <w:r>
              <w:rPr>
                <w:rFonts w:ascii="宋体" w:hAnsi="宋体" w:eastAsia="宋体"/>
                <w:sz w:val="16"/>
              </w:rPr>
              <w:t>=12个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02234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40517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218E01">
            <w:pPr>
              <w:jc w:val="center"/>
            </w:pPr>
          </w:p>
        </w:tc>
      </w:tr>
      <w:tr w14:paraId="656A334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92682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EB874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7DD381">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06448E">
            <w:pPr>
              <w:jc w:val="center"/>
            </w:pPr>
            <w:r>
              <w:rPr>
                <w:rFonts w:ascii="宋体" w:hAnsi="宋体" w:eastAsia="宋体"/>
                <w:sz w:val="16"/>
              </w:rPr>
              <w:t>村级民兵补助覆盖率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7FB20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FF4AE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BD94B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337A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8F161D">
            <w:pPr>
              <w:jc w:val="center"/>
            </w:pPr>
          </w:p>
        </w:tc>
      </w:tr>
      <w:tr w14:paraId="6770BF5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ED369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7500C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AF39AE">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F4B137">
            <w:pPr>
              <w:jc w:val="center"/>
            </w:pPr>
            <w:r>
              <w:rPr>
                <w:rFonts w:ascii="宋体" w:hAnsi="宋体" w:eastAsia="宋体"/>
                <w:sz w:val="16"/>
              </w:rPr>
              <w:t>补助发放及时率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DDBAD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2642F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2B27F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EB807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5EC742">
            <w:pPr>
              <w:jc w:val="center"/>
            </w:pPr>
            <w:r>
              <w:rPr>
                <w:rFonts w:ascii="宋体" w:hAnsi="宋体" w:eastAsia="宋体"/>
                <w:sz w:val="16"/>
              </w:rPr>
              <w:t>年中变更资金发放标准，年底减少1人。</w:t>
            </w:r>
          </w:p>
        </w:tc>
      </w:tr>
      <w:tr w14:paraId="493E5F9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C11168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7F618F9">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E74A5A">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E5DA2C">
            <w:pPr>
              <w:jc w:val="center"/>
            </w:pPr>
            <w:r>
              <w:rPr>
                <w:rFonts w:ascii="宋体" w:hAnsi="宋体" w:eastAsia="宋体"/>
                <w:sz w:val="16"/>
              </w:rPr>
              <w:t>22名民兵补助标准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D985AD">
            <w:pPr>
              <w:jc w:val="center"/>
            </w:pPr>
            <w:r>
              <w:rPr>
                <w:rFonts w:ascii="宋体" w:hAnsi="宋体" w:eastAsia="宋体"/>
                <w:sz w:val="16"/>
              </w:rPr>
              <w:t>&lt;=1600元/人/月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B389BC">
            <w:pPr>
              <w:jc w:val="center"/>
            </w:pPr>
            <w:r>
              <w:rPr>
                <w:rFonts w:ascii="宋体" w:hAnsi="宋体" w:eastAsia="宋体"/>
                <w:sz w:val="16"/>
              </w:rPr>
              <w:t>&lt;=1600元/人/月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E67A2C">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6F5595">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C8BE9D">
            <w:pPr>
              <w:jc w:val="center"/>
            </w:pPr>
            <w:r>
              <w:rPr>
                <w:rFonts w:ascii="宋体" w:hAnsi="宋体" w:eastAsia="宋体"/>
                <w:sz w:val="16"/>
              </w:rPr>
              <w:t>偏差原因：本年年底调整民兵补助标准，导致出现偏差。</w:t>
            </w:r>
          </w:p>
        </w:tc>
      </w:tr>
      <w:tr w14:paraId="72127E0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E94B0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DE718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A886F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9BE455">
            <w:pPr>
              <w:jc w:val="center"/>
            </w:pPr>
            <w:r>
              <w:rPr>
                <w:rFonts w:ascii="宋体" w:hAnsi="宋体" w:eastAsia="宋体"/>
                <w:sz w:val="16"/>
              </w:rPr>
              <w:t>12名民兵补助标准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3FBC9D">
            <w:pPr>
              <w:jc w:val="center"/>
            </w:pPr>
            <w:r>
              <w:rPr>
                <w:rFonts w:ascii="宋体" w:hAnsi="宋体" w:eastAsia="宋体"/>
                <w:sz w:val="16"/>
              </w:rPr>
              <w:t>&lt;=100元/人/月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9956CD">
            <w:pPr>
              <w:jc w:val="center"/>
            </w:pPr>
            <w:r>
              <w:rPr>
                <w:rFonts w:ascii="宋体" w:hAnsi="宋体" w:eastAsia="宋体"/>
                <w:sz w:val="16"/>
              </w:rPr>
              <w:t>&lt;=100元/人/月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72F973">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4E40E3">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812357">
            <w:pPr>
              <w:jc w:val="center"/>
            </w:pPr>
            <w:r>
              <w:rPr>
                <w:rFonts w:ascii="宋体" w:hAnsi="宋体" w:eastAsia="宋体"/>
                <w:sz w:val="16"/>
              </w:rPr>
              <w:t>偏差原因：本年年底调整民兵补助标准，导致出现偏差。</w:t>
            </w:r>
          </w:p>
        </w:tc>
      </w:tr>
      <w:tr w14:paraId="22A10E5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D9FDF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ECAA4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A5445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3BC19A">
            <w:pPr>
              <w:jc w:val="center"/>
            </w:pPr>
            <w:r>
              <w:rPr>
                <w:rFonts w:ascii="宋体" w:hAnsi="宋体" w:eastAsia="宋体"/>
                <w:sz w:val="16"/>
              </w:rPr>
              <w:t>16名民兵补助标准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BADEDE">
            <w:pPr>
              <w:jc w:val="center"/>
            </w:pPr>
            <w:r>
              <w:rPr>
                <w:rFonts w:ascii="宋体" w:hAnsi="宋体" w:eastAsia="宋体"/>
                <w:sz w:val="16"/>
              </w:rPr>
              <w:t>&lt;=511元/人/月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1FB188">
            <w:pPr>
              <w:jc w:val="center"/>
            </w:pPr>
            <w:r>
              <w:rPr>
                <w:rFonts w:ascii="宋体" w:hAnsi="宋体" w:eastAsia="宋体"/>
                <w:sz w:val="16"/>
              </w:rPr>
              <w:t>&lt;=511元/人/月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E6F920">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526ABC">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206261">
            <w:pPr>
              <w:jc w:val="center"/>
            </w:pPr>
            <w:r>
              <w:rPr>
                <w:rFonts w:ascii="宋体" w:hAnsi="宋体" w:eastAsia="宋体"/>
                <w:sz w:val="16"/>
              </w:rPr>
              <w:t>偏差原因：本年年底调整民兵补助标准，导致出现偏差。</w:t>
            </w:r>
          </w:p>
        </w:tc>
      </w:tr>
      <w:tr w14:paraId="17D5927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5E6C9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FD45A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EA492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6D6E6A">
            <w:pPr>
              <w:jc w:val="center"/>
            </w:pPr>
            <w:r>
              <w:rPr>
                <w:rFonts w:ascii="宋体" w:hAnsi="宋体" w:eastAsia="宋体"/>
                <w:sz w:val="16"/>
              </w:rPr>
              <w:t>9名民兵补助标准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B9A7EB">
            <w:pPr>
              <w:jc w:val="center"/>
            </w:pPr>
            <w:r>
              <w:rPr>
                <w:rFonts w:ascii="宋体" w:hAnsi="宋体" w:eastAsia="宋体"/>
                <w:sz w:val="16"/>
              </w:rPr>
              <w:t>&lt;=519元/人/月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42736A">
            <w:pPr>
              <w:jc w:val="center"/>
            </w:pPr>
            <w:r>
              <w:rPr>
                <w:rFonts w:ascii="宋体" w:hAnsi="宋体" w:eastAsia="宋体"/>
                <w:sz w:val="16"/>
              </w:rPr>
              <w:t>&lt;=519元/人/月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524840">
            <w:pPr>
              <w:jc w:val="center"/>
            </w:pPr>
            <w:r>
              <w:rPr>
                <w:rFonts w:ascii="宋体" w:hAnsi="宋体" w:eastAsia="宋体"/>
                <w:sz w:val="16"/>
              </w:rPr>
              <w:t>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8B79EC">
            <w:pPr>
              <w:jc w:val="center"/>
            </w:pPr>
            <w:r>
              <w:rPr>
                <w:rFonts w:ascii="宋体" w:hAnsi="宋体" w:eastAsia="宋体"/>
                <w:sz w:val="16"/>
              </w:rPr>
              <w:t>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96EAF7">
            <w:pPr>
              <w:jc w:val="center"/>
            </w:pPr>
            <w:r>
              <w:rPr>
                <w:rFonts w:ascii="宋体" w:hAnsi="宋体" w:eastAsia="宋体"/>
                <w:sz w:val="16"/>
              </w:rPr>
              <w:t>偏差原因：本年年底调整民兵补助标准，导致出现偏差。</w:t>
            </w:r>
          </w:p>
        </w:tc>
      </w:tr>
      <w:tr w14:paraId="7856EA4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9EDEEE"/>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F43791">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D4B5AA">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7836BE">
            <w:pPr>
              <w:jc w:val="center"/>
            </w:pPr>
            <w:r>
              <w:rPr>
                <w:rFonts w:ascii="宋体" w:hAnsi="宋体" w:eastAsia="宋体"/>
                <w:sz w:val="16"/>
              </w:rPr>
              <w:t>民兵补助标准知晓率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3AD8ED">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59855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923CA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BD9BB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F7F5B0">
            <w:pPr>
              <w:jc w:val="center"/>
            </w:pPr>
          </w:p>
        </w:tc>
      </w:tr>
      <w:tr w14:paraId="532F61E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F6410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3151F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74863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C817AC">
            <w:pPr>
              <w:jc w:val="center"/>
            </w:pPr>
            <w:r>
              <w:rPr>
                <w:rFonts w:ascii="宋体" w:hAnsi="宋体" w:eastAsia="宋体"/>
                <w:sz w:val="16"/>
              </w:rPr>
              <w:t>有效提高村委会职能效应保护人民群众利益</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8E1EE1">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6CB0F5">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9B90E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38BE5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7E9978">
            <w:pPr>
              <w:jc w:val="center"/>
            </w:pPr>
          </w:p>
        </w:tc>
      </w:tr>
      <w:tr w14:paraId="38E4911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8DEB9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D6A089">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B23514">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CB0A68">
            <w:pPr>
              <w:jc w:val="center"/>
            </w:pPr>
            <w:r>
              <w:rPr>
                <w:rFonts w:ascii="宋体" w:hAnsi="宋体" w:eastAsia="宋体"/>
                <w:sz w:val="16"/>
              </w:rPr>
              <w:t>村级民兵满意度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951DAE">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6ADCB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C9206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12445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E9017D">
            <w:pPr>
              <w:jc w:val="center"/>
            </w:pPr>
            <w:r>
              <w:rPr>
                <w:rFonts w:ascii="宋体" w:hAnsi="宋体" w:eastAsia="宋体"/>
                <w:sz w:val="16"/>
              </w:rPr>
              <w:t>偏差原因：因本项目实施较好，满意度超出预期，造成偏差。</w:t>
            </w:r>
          </w:p>
        </w:tc>
      </w:tr>
      <w:tr w14:paraId="6C8AA961">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9C7D5DD">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BBCC60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34922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EAB664">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EBD0666"/>
        </w:tc>
      </w:tr>
    </w:tbl>
    <w:p w14:paraId="0C81B1C8">
      <w:r>
        <w:br w:type="page"/>
      </w:r>
    </w:p>
    <w:tbl>
      <w:tblPr>
        <w:tblStyle w:val="9"/>
        <w:tblW w:w="5000" w:type="pct"/>
        <w:jc w:val="center"/>
        <w:tblLayout w:type="autofit"/>
        <w:tblCellMar>
          <w:top w:w="32" w:type="dxa"/>
          <w:left w:w="64" w:type="dxa"/>
          <w:bottom w:w="32" w:type="dxa"/>
          <w:right w:w="64" w:type="dxa"/>
        </w:tblCellMar>
      </w:tblPr>
      <w:tblGrid>
        <w:gridCol w:w="551"/>
        <w:gridCol w:w="928"/>
        <w:gridCol w:w="1046"/>
        <w:gridCol w:w="1611"/>
        <w:gridCol w:w="912"/>
        <w:gridCol w:w="958"/>
        <w:gridCol w:w="432"/>
        <w:gridCol w:w="712"/>
        <w:gridCol w:w="1822"/>
      </w:tblGrid>
      <w:tr w14:paraId="6D9B3D56">
        <w:tblPrEx>
          <w:tblCellMar>
            <w:top w:w="32" w:type="dxa"/>
            <w:left w:w="64" w:type="dxa"/>
            <w:bottom w:w="32" w:type="dxa"/>
            <w:right w:w="64" w:type="dxa"/>
          </w:tblCellMar>
        </w:tblPrEx>
        <w:trPr>
          <w:trHeight w:val="0" w:hRule="atLeast"/>
          <w:jc w:val="center"/>
        </w:trPr>
        <w:tc>
          <w:tcPr>
            <w:tcW w:w="5000" w:type="pct"/>
            <w:gridSpan w:val="9"/>
            <w:vAlign w:val="center"/>
          </w:tcPr>
          <w:p w14:paraId="22E16A1E">
            <w:pPr>
              <w:snapToGrid w:val="0"/>
              <w:jc w:val="center"/>
            </w:pPr>
            <w:r>
              <w:rPr>
                <w:rFonts w:ascii="宋体" w:hAnsi="宋体" w:eastAsia="宋体"/>
                <w:sz w:val="24"/>
              </w:rPr>
              <w:t>项目支出绩效自评表</w:t>
            </w:r>
          </w:p>
        </w:tc>
      </w:tr>
      <w:tr w14:paraId="58723756">
        <w:tblPrEx>
          <w:tblCellMar>
            <w:top w:w="32" w:type="dxa"/>
            <w:left w:w="64" w:type="dxa"/>
            <w:bottom w:w="32" w:type="dxa"/>
            <w:right w:w="64" w:type="dxa"/>
          </w:tblCellMar>
        </w:tblPrEx>
        <w:trPr>
          <w:trHeight w:val="0" w:hRule="atLeast"/>
          <w:jc w:val="center"/>
        </w:trPr>
        <w:tc>
          <w:tcPr>
            <w:tcW w:w="5000" w:type="pct"/>
            <w:gridSpan w:val="9"/>
            <w:vAlign w:val="center"/>
          </w:tcPr>
          <w:p w14:paraId="18500A08">
            <w:pPr>
              <w:snapToGrid w:val="0"/>
              <w:jc w:val="center"/>
            </w:pPr>
            <w:r>
              <w:rPr>
                <w:rFonts w:ascii="宋体" w:hAnsi="宋体" w:eastAsia="宋体"/>
                <w:sz w:val="24"/>
              </w:rPr>
              <w:t>(2024年度)</w:t>
            </w:r>
          </w:p>
        </w:tc>
      </w:tr>
      <w:tr w14:paraId="5B570DAB">
        <w:tblPrEx>
          <w:tblCellMar>
            <w:top w:w="32" w:type="dxa"/>
            <w:left w:w="64" w:type="dxa"/>
            <w:bottom w:w="32" w:type="dxa"/>
            <w:right w:w="64" w:type="dxa"/>
          </w:tblCellMar>
        </w:tblPrEx>
        <w:trPr>
          <w:trHeight w:val="0" w:hRule="atLeast"/>
          <w:jc w:val="center"/>
        </w:trPr>
        <w:tc>
          <w:tcPr>
            <w:tcW w:w="307" w:type="pct"/>
            <w:tcBorders>
              <w:top w:val="single" w:color="auto" w:sz="10" w:space="0"/>
              <w:left w:val="single" w:color="auto" w:sz="10" w:space="0"/>
              <w:bottom w:val="single" w:color="auto" w:sz="10" w:space="0"/>
              <w:right w:val="single" w:color="auto" w:sz="10" w:space="0"/>
              <w:insideV w:val="single" w:sz="10" w:space="0"/>
            </w:tcBorders>
            <w:vAlign w:val="center"/>
          </w:tcPr>
          <w:p w14:paraId="2F8AD2B2">
            <w:pPr>
              <w:snapToGrid w:val="0"/>
              <w:jc w:val="center"/>
            </w:pPr>
            <w:r>
              <w:rPr>
                <w:rFonts w:ascii="宋体" w:hAnsi="宋体" w:eastAsia="宋体"/>
                <w:sz w:val="16"/>
              </w:rPr>
              <w:t>项目名称</w:t>
            </w:r>
          </w:p>
        </w:tc>
        <w:tc>
          <w:tcPr>
            <w:tcW w:w="4692" w:type="pct"/>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39B9665">
            <w:pPr>
              <w:snapToGrid w:val="0"/>
              <w:jc w:val="center"/>
            </w:pPr>
            <w:r>
              <w:rPr>
                <w:rFonts w:ascii="宋体" w:hAnsi="宋体" w:eastAsia="宋体"/>
                <w:sz w:val="16"/>
              </w:rPr>
              <w:t>和田县英艾日克乡英艾日克村基础设施及村容村貌提升项目</w:t>
            </w:r>
          </w:p>
        </w:tc>
      </w:tr>
      <w:tr w14:paraId="14A89489">
        <w:tblPrEx>
          <w:tblCellMar>
            <w:top w:w="32" w:type="dxa"/>
            <w:left w:w="64" w:type="dxa"/>
            <w:bottom w:w="32" w:type="dxa"/>
            <w:right w:w="64" w:type="dxa"/>
          </w:tblCellMar>
        </w:tblPrEx>
        <w:trPr>
          <w:trHeight w:val="0" w:hRule="atLeast"/>
          <w:jc w:val="center"/>
        </w:trPr>
        <w:tc>
          <w:tcPr>
            <w:tcW w:w="307" w:type="pct"/>
            <w:tcBorders>
              <w:top w:val="single" w:color="auto" w:sz="10" w:space="0"/>
              <w:left w:val="single" w:color="auto" w:sz="10" w:space="0"/>
              <w:bottom w:val="single" w:color="auto" w:sz="10" w:space="0"/>
              <w:right w:val="single" w:color="auto" w:sz="10" w:space="0"/>
              <w:insideV w:val="single" w:sz="10" w:space="0"/>
            </w:tcBorders>
            <w:vAlign w:val="center"/>
          </w:tcPr>
          <w:p w14:paraId="5BF12EAC">
            <w:pPr>
              <w:snapToGrid w:val="0"/>
              <w:jc w:val="center"/>
            </w:pPr>
            <w:r>
              <w:rPr>
                <w:rFonts w:ascii="宋体" w:hAnsi="宋体" w:eastAsia="宋体"/>
                <w:sz w:val="16"/>
              </w:rPr>
              <w:t>主管部门</w:t>
            </w:r>
          </w:p>
        </w:tc>
        <w:tc>
          <w:tcPr>
            <w:tcW w:w="1998" w:type="pct"/>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8D1C026">
            <w:pPr>
              <w:snapToGrid w:val="0"/>
              <w:jc w:val="center"/>
            </w:pPr>
            <w:r>
              <w:rPr>
                <w:rFonts w:ascii="宋体" w:hAnsi="宋体" w:eastAsia="宋体"/>
                <w:sz w:val="16"/>
              </w:rPr>
              <w:t>和田县英艾日克乡人民政府</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303C21E2">
            <w:pPr>
              <w:snapToGrid w:val="0"/>
              <w:jc w:val="center"/>
            </w:pPr>
            <w:r>
              <w:rPr>
                <w:rFonts w:ascii="宋体" w:hAnsi="宋体" w:eastAsia="宋体"/>
                <w:sz w:val="16"/>
              </w:rPr>
              <w:t>实施单位</w:t>
            </w:r>
          </w:p>
        </w:tc>
        <w:tc>
          <w:tcPr>
            <w:tcW w:w="2188" w:type="pct"/>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5252F8A">
            <w:pPr>
              <w:snapToGrid w:val="0"/>
              <w:jc w:val="center"/>
            </w:pPr>
            <w:r>
              <w:rPr>
                <w:rFonts w:ascii="宋体" w:hAnsi="宋体" w:eastAsia="宋体"/>
                <w:sz w:val="16"/>
              </w:rPr>
              <w:t>和田县英艾日克乡人民政府</w:t>
            </w:r>
          </w:p>
        </w:tc>
      </w:tr>
      <w:tr w14:paraId="6B0A046A">
        <w:tblPrEx>
          <w:tblCellMar>
            <w:top w:w="32" w:type="dxa"/>
            <w:left w:w="64" w:type="dxa"/>
            <w:bottom w:w="32" w:type="dxa"/>
            <w:right w:w="64" w:type="dxa"/>
          </w:tblCellMar>
        </w:tblPrEx>
        <w:trPr>
          <w:trHeight w:val="0" w:hRule="atLeast"/>
          <w:jc w:val="center"/>
        </w:trPr>
        <w:tc>
          <w:tcPr>
            <w:tcW w:w="307"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200709">
            <w:pPr>
              <w:snapToGrid w:val="0"/>
              <w:jc w:val="center"/>
            </w:pPr>
            <w:r>
              <w:rPr>
                <w:rFonts w:ascii="宋体" w:hAnsi="宋体" w:eastAsia="宋体"/>
                <w:sz w:val="16"/>
              </w:rPr>
              <w:t>项目资金 （万元）</w:t>
            </w:r>
          </w:p>
        </w:tc>
        <w:tc>
          <w:tcPr>
            <w:tcW w:w="1100"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E02539">
            <w:pPr>
              <w:snapToGrid w:val="0"/>
              <w:jc w:val="center"/>
            </w:pP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01D31601">
            <w:pPr>
              <w:snapToGrid w:val="0"/>
              <w:jc w:val="center"/>
            </w:pPr>
            <w:r>
              <w:rPr>
                <w:rFonts w:ascii="宋体" w:hAnsi="宋体" w:eastAsia="宋体"/>
                <w:sz w:val="16"/>
              </w:rPr>
              <w:t>年初预算数</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23192580">
            <w:pPr>
              <w:snapToGrid w:val="0"/>
              <w:jc w:val="center"/>
            </w:pPr>
            <w:r>
              <w:rPr>
                <w:rFonts w:ascii="宋体" w:hAnsi="宋体" w:eastAsia="宋体"/>
                <w:sz w:val="16"/>
              </w:rPr>
              <w:t>全年预算数</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547986C9">
            <w:pPr>
              <w:snapToGrid w:val="0"/>
              <w:jc w:val="center"/>
            </w:pPr>
            <w:r>
              <w:rPr>
                <w:rFonts w:ascii="宋体" w:hAnsi="宋体" w:eastAsia="宋体"/>
                <w:sz w:val="16"/>
              </w:rPr>
              <w:t>全年执行数</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79992BFB">
            <w:pPr>
              <w:snapToGrid w:val="0"/>
              <w:jc w:val="center"/>
            </w:pPr>
            <w:r>
              <w:rPr>
                <w:rFonts w:ascii="宋体" w:hAnsi="宋体" w:eastAsia="宋体"/>
                <w:sz w:val="16"/>
              </w:rPr>
              <w:t>分值</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0F6FDAB1">
            <w:pPr>
              <w:snapToGrid w:val="0"/>
              <w:jc w:val="center"/>
            </w:pPr>
            <w:r>
              <w:rPr>
                <w:rFonts w:ascii="宋体" w:hAnsi="宋体" w:eastAsia="宋体"/>
                <w:sz w:val="16"/>
              </w:rPr>
              <w:t>执行率</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1E6E90EA">
            <w:pPr>
              <w:snapToGrid w:val="0"/>
              <w:jc w:val="center"/>
            </w:pPr>
            <w:r>
              <w:rPr>
                <w:rFonts w:ascii="宋体" w:hAnsi="宋体" w:eastAsia="宋体"/>
                <w:sz w:val="16"/>
              </w:rPr>
              <w:t>得分</w:t>
            </w:r>
          </w:p>
        </w:tc>
      </w:tr>
      <w:tr w14:paraId="4D0084A6">
        <w:tblPrEx>
          <w:tblCellMar>
            <w:top w:w="32" w:type="dxa"/>
            <w:left w:w="64" w:type="dxa"/>
            <w:bottom w:w="32" w:type="dxa"/>
            <w:right w:w="64" w:type="dxa"/>
          </w:tblCellMar>
        </w:tblPrEx>
        <w:trPr>
          <w:trHeight w:val="0" w:hRule="atLeast"/>
          <w:jc w:val="center"/>
        </w:trPr>
        <w:tc>
          <w:tcPr>
            <w:tcW w:w="307" w:type="pct"/>
            <w:vMerge w:val="continue"/>
            <w:tcBorders>
              <w:top w:val="single" w:color="auto" w:sz="10" w:space="0"/>
              <w:left w:val="single" w:color="auto" w:sz="10" w:space="0"/>
              <w:bottom w:val="single" w:color="auto" w:sz="10" w:space="0"/>
              <w:right w:val="single" w:color="auto" w:sz="10" w:space="0"/>
              <w:insideV w:val="single" w:sz="10" w:space="0"/>
            </w:tcBorders>
          </w:tcPr>
          <w:p w14:paraId="6C83B26C">
            <w:pPr>
              <w:snapToGrid w:val="0"/>
            </w:pPr>
          </w:p>
        </w:tc>
        <w:tc>
          <w:tcPr>
            <w:tcW w:w="1100"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71DCCB">
            <w:pPr>
              <w:snapToGrid w:val="0"/>
              <w:jc w:val="center"/>
            </w:pPr>
            <w:r>
              <w:rPr>
                <w:rFonts w:ascii="宋体" w:hAnsi="宋体" w:eastAsia="宋体"/>
                <w:sz w:val="16"/>
              </w:rPr>
              <w:t>年度资金总额</w:t>
            </w: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34954509">
            <w:pPr>
              <w:snapToGrid w:val="0"/>
              <w:jc w:val="center"/>
            </w:pPr>
            <w:r>
              <w:rPr>
                <w:rFonts w:ascii="宋体" w:hAnsi="宋体" w:eastAsia="宋体"/>
                <w:sz w:val="16"/>
              </w:rPr>
              <w:t>50.00</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1D8D2A0C">
            <w:pPr>
              <w:snapToGrid w:val="0"/>
              <w:jc w:val="center"/>
            </w:pPr>
            <w:r>
              <w:rPr>
                <w:rFonts w:ascii="宋体" w:hAnsi="宋体" w:eastAsia="宋体"/>
                <w:sz w:val="16"/>
              </w:rPr>
              <w:t>50.00</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0FF6F3BB">
            <w:pPr>
              <w:snapToGrid w:val="0"/>
              <w:jc w:val="center"/>
            </w:pPr>
            <w:r>
              <w:rPr>
                <w:rFonts w:ascii="宋体" w:hAnsi="宋体" w:eastAsia="宋体"/>
                <w:sz w:val="16"/>
              </w:rPr>
              <w:t>37.85</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2E8AA068">
            <w:pPr>
              <w:snapToGrid w:val="0"/>
              <w:jc w:val="center"/>
            </w:pPr>
            <w:r>
              <w:rPr>
                <w:rFonts w:ascii="宋体" w:hAnsi="宋体" w:eastAsia="宋体"/>
                <w:sz w:val="16"/>
              </w:rPr>
              <w:t>10</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258E6B6B">
            <w:pPr>
              <w:snapToGrid w:val="0"/>
              <w:jc w:val="center"/>
            </w:pPr>
            <w:r>
              <w:rPr>
                <w:rFonts w:ascii="宋体" w:hAnsi="宋体" w:eastAsia="宋体"/>
                <w:sz w:val="16"/>
              </w:rPr>
              <w:t xml:space="preserve">75.70% </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29434FF0">
            <w:pPr>
              <w:snapToGrid w:val="0"/>
              <w:jc w:val="center"/>
            </w:pPr>
            <w:r>
              <w:rPr>
                <w:rFonts w:ascii="宋体" w:hAnsi="宋体" w:eastAsia="宋体"/>
                <w:sz w:val="16"/>
              </w:rPr>
              <w:t>3.93分</w:t>
            </w:r>
          </w:p>
        </w:tc>
      </w:tr>
      <w:tr w14:paraId="6F815337">
        <w:tblPrEx>
          <w:tblCellMar>
            <w:top w:w="32" w:type="dxa"/>
            <w:left w:w="64" w:type="dxa"/>
            <w:bottom w:w="32" w:type="dxa"/>
            <w:right w:w="64" w:type="dxa"/>
          </w:tblCellMar>
        </w:tblPrEx>
        <w:trPr>
          <w:trHeight w:val="0" w:hRule="atLeast"/>
          <w:jc w:val="center"/>
        </w:trPr>
        <w:tc>
          <w:tcPr>
            <w:tcW w:w="307" w:type="pct"/>
            <w:vMerge w:val="continue"/>
            <w:tcBorders>
              <w:top w:val="single" w:color="auto" w:sz="10" w:space="0"/>
              <w:left w:val="single" w:color="auto" w:sz="10" w:space="0"/>
              <w:bottom w:val="single" w:color="auto" w:sz="10" w:space="0"/>
              <w:right w:val="single" w:color="auto" w:sz="10" w:space="0"/>
              <w:insideV w:val="single" w:sz="10" w:space="0"/>
            </w:tcBorders>
          </w:tcPr>
          <w:p w14:paraId="75118BF4">
            <w:pPr>
              <w:snapToGrid w:val="0"/>
            </w:pPr>
          </w:p>
        </w:tc>
        <w:tc>
          <w:tcPr>
            <w:tcW w:w="1100"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98CA9A">
            <w:pPr>
              <w:snapToGrid w:val="0"/>
              <w:jc w:val="center"/>
            </w:pPr>
            <w:r>
              <w:rPr>
                <w:rFonts w:ascii="宋体" w:hAnsi="宋体" w:eastAsia="宋体"/>
                <w:sz w:val="16"/>
              </w:rPr>
              <w:t>其中：当年财政拨款</w:t>
            </w: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65CAF438">
            <w:pPr>
              <w:snapToGrid w:val="0"/>
              <w:jc w:val="center"/>
            </w:pPr>
            <w:r>
              <w:rPr>
                <w:rFonts w:ascii="宋体" w:hAnsi="宋体" w:eastAsia="宋体"/>
                <w:sz w:val="16"/>
              </w:rPr>
              <w:t>50.00</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174917E9">
            <w:pPr>
              <w:snapToGrid w:val="0"/>
              <w:jc w:val="center"/>
            </w:pPr>
            <w:r>
              <w:rPr>
                <w:rFonts w:ascii="宋体" w:hAnsi="宋体" w:eastAsia="宋体"/>
                <w:sz w:val="16"/>
              </w:rPr>
              <w:t>50.00</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27F04D61">
            <w:pPr>
              <w:snapToGrid w:val="0"/>
              <w:jc w:val="center"/>
            </w:pPr>
            <w:r>
              <w:rPr>
                <w:rFonts w:ascii="宋体" w:hAnsi="宋体" w:eastAsia="宋体"/>
                <w:sz w:val="16"/>
              </w:rPr>
              <w:t>37.85</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75AB2754">
            <w:pPr>
              <w:snapToGrid w:val="0"/>
              <w:jc w:val="center"/>
            </w:pPr>
            <w:r>
              <w:rPr>
                <w:rFonts w:ascii="宋体" w:hAnsi="宋体" w:eastAsia="宋体"/>
                <w:sz w:val="16"/>
              </w:rPr>
              <w:t>—</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593F20A3">
            <w:pPr>
              <w:snapToGrid w:val="0"/>
              <w:jc w:val="center"/>
            </w:pPr>
            <w:r>
              <w:rPr>
                <w:rFonts w:ascii="宋体" w:hAnsi="宋体" w:eastAsia="宋体"/>
                <w:sz w:val="16"/>
              </w:rPr>
              <w:t>—</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5FAE1C4D">
            <w:pPr>
              <w:snapToGrid w:val="0"/>
              <w:jc w:val="center"/>
            </w:pPr>
            <w:r>
              <w:rPr>
                <w:rFonts w:ascii="宋体" w:hAnsi="宋体" w:eastAsia="宋体"/>
                <w:sz w:val="16"/>
              </w:rPr>
              <w:t>—</w:t>
            </w:r>
          </w:p>
        </w:tc>
      </w:tr>
      <w:tr w14:paraId="4979D2C7">
        <w:tblPrEx>
          <w:tblCellMar>
            <w:top w:w="32" w:type="dxa"/>
            <w:left w:w="64" w:type="dxa"/>
            <w:bottom w:w="32" w:type="dxa"/>
            <w:right w:w="64" w:type="dxa"/>
          </w:tblCellMar>
        </w:tblPrEx>
        <w:trPr>
          <w:trHeight w:val="0" w:hRule="atLeast"/>
          <w:jc w:val="center"/>
        </w:trPr>
        <w:tc>
          <w:tcPr>
            <w:tcW w:w="307" w:type="pct"/>
            <w:vMerge w:val="continue"/>
            <w:tcBorders>
              <w:top w:val="single" w:color="auto" w:sz="10" w:space="0"/>
              <w:left w:val="single" w:color="auto" w:sz="10" w:space="0"/>
              <w:bottom w:val="single" w:color="auto" w:sz="10" w:space="0"/>
              <w:right w:val="single" w:color="auto" w:sz="10" w:space="0"/>
              <w:insideV w:val="single" w:sz="10" w:space="0"/>
            </w:tcBorders>
          </w:tcPr>
          <w:p w14:paraId="10A5458F">
            <w:pPr>
              <w:snapToGrid w:val="0"/>
            </w:pPr>
          </w:p>
        </w:tc>
        <w:tc>
          <w:tcPr>
            <w:tcW w:w="1100"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EA4451">
            <w:pPr>
              <w:snapToGrid w:val="0"/>
              <w:jc w:val="center"/>
            </w:pPr>
            <w:r>
              <w:rPr>
                <w:rFonts w:ascii="宋体" w:hAnsi="宋体" w:eastAsia="宋体"/>
                <w:sz w:val="16"/>
              </w:rPr>
              <w:t xml:space="preserve">      上年结转资金</w:t>
            </w: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4E236396">
            <w:pPr>
              <w:snapToGrid w:val="0"/>
              <w:jc w:val="center"/>
            </w:pPr>
            <w:r>
              <w:rPr>
                <w:rFonts w:ascii="宋体" w:hAnsi="宋体" w:eastAsia="宋体"/>
                <w:sz w:val="16"/>
              </w:rPr>
              <w:t>0.00</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228971C6">
            <w:pPr>
              <w:snapToGrid w:val="0"/>
              <w:jc w:val="center"/>
            </w:pPr>
            <w:r>
              <w:rPr>
                <w:rFonts w:ascii="宋体" w:hAnsi="宋体" w:eastAsia="宋体"/>
                <w:sz w:val="16"/>
              </w:rPr>
              <w:t>0.00</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20EBFCF7">
            <w:pPr>
              <w:snapToGrid w:val="0"/>
              <w:jc w:val="center"/>
            </w:pPr>
            <w:r>
              <w:rPr>
                <w:rFonts w:ascii="宋体" w:hAnsi="宋体" w:eastAsia="宋体"/>
                <w:sz w:val="16"/>
              </w:rPr>
              <w:t>0.00</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065ED75F">
            <w:pPr>
              <w:snapToGrid w:val="0"/>
              <w:jc w:val="center"/>
            </w:pPr>
            <w:r>
              <w:rPr>
                <w:rFonts w:ascii="宋体" w:hAnsi="宋体" w:eastAsia="宋体"/>
                <w:sz w:val="16"/>
              </w:rPr>
              <w:t>—</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372C6483">
            <w:pPr>
              <w:snapToGrid w:val="0"/>
              <w:jc w:val="center"/>
            </w:pPr>
            <w:r>
              <w:rPr>
                <w:rFonts w:ascii="宋体" w:hAnsi="宋体" w:eastAsia="宋体"/>
                <w:sz w:val="16"/>
              </w:rPr>
              <w:t>—</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01C050A3">
            <w:pPr>
              <w:snapToGrid w:val="0"/>
              <w:jc w:val="center"/>
            </w:pPr>
            <w:r>
              <w:rPr>
                <w:rFonts w:ascii="宋体" w:hAnsi="宋体" w:eastAsia="宋体"/>
                <w:sz w:val="16"/>
              </w:rPr>
              <w:t>—</w:t>
            </w:r>
          </w:p>
        </w:tc>
      </w:tr>
      <w:tr w14:paraId="46522ECE">
        <w:tblPrEx>
          <w:tblCellMar>
            <w:top w:w="32" w:type="dxa"/>
            <w:left w:w="64" w:type="dxa"/>
            <w:bottom w:w="32" w:type="dxa"/>
            <w:right w:w="64" w:type="dxa"/>
          </w:tblCellMar>
        </w:tblPrEx>
        <w:trPr>
          <w:trHeight w:val="0" w:hRule="atLeast"/>
          <w:jc w:val="center"/>
        </w:trPr>
        <w:tc>
          <w:tcPr>
            <w:tcW w:w="307" w:type="pct"/>
            <w:vMerge w:val="continue"/>
            <w:tcBorders>
              <w:top w:val="single" w:color="auto" w:sz="10" w:space="0"/>
              <w:left w:val="single" w:color="auto" w:sz="10" w:space="0"/>
              <w:bottom w:val="single" w:color="auto" w:sz="10" w:space="0"/>
              <w:right w:val="single" w:color="auto" w:sz="10" w:space="0"/>
              <w:insideV w:val="single" w:sz="10" w:space="0"/>
            </w:tcBorders>
          </w:tcPr>
          <w:p w14:paraId="26295352">
            <w:pPr>
              <w:snapToGrid w:val="0"/>
            </w:pPr>
          </w:p>
        </w:tc>
        <w:tc>
          <w:tcPr>
            <w:tcW w:w="1100"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2A9934">
            <w:pPr>
              <w:snapToGrid w:val="0"/>
              <w:jc w:val="center"/>
            </w:pPr>
            <w:r>
              <w:rPr>
                <w:rFonts w:ascii="宋体" w:hAnsi="宋体" w:eastAsia="宋体"/>
                <w:sz w:val="16"/>
              </w:rPr>
              <w:t xml:space="preserve">  其他资金</w:t>
            </w: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74C1212E">
            <w:pPr>
              <w:snapToGrid w:val="0"/>
              <w:jc w:val="center"/>
            </w:pPr>
            <w:r>
              <w:rPr>
                <w:rFonts w:ascii="宋体" w:hAnsi="宋体" w:eastAsia="宋体"/>
                <w:sz w:val="16"/>
              </w:rPr>
              <w:t>0.00</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5339A23A">
            <w:pPr>
              <w:snapToGrid w:val="0"/>
              <w:jc w:val="center"/>
            </w:pPr>
            <w:r>
              <w:rPr>
                <w:rFonts w:ascii="宋体" w:hAnsi="宋体" w:eastAsia="宋体"/>
                <w:sz w:val="16"/>
              </w:rPr>
              <w:t>0.00</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0204FE15">
            <w:pPr>
              <w:snapToGrid w:val="0"/>
              <w:jc w:val="center"/>
            </w:pPr>
            <w:r>
              <w:rPr>
                <w:rFonts w:ascii="宋体" w:hAnsi="宋体" w:eastAsia="宋体"/>
                <w:sz w:val="16"/>
              </w:rPr>
              <w:t>0.00</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62AEFDD7">
            <w:pPr>
              <w:snapToGrid w:val="0"/>
              <w:jc w:val="center"/>
            </w:pPr>
            <w:r>
              <w:rPr>
                <w:rFonts w:ascii="宋体" w:hAnsi="宋体" w:eastAsia="宋体"/>
                <w:sz w:val="16"/>
              </w:rPr>
              <w:t>—</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2FD197B3">
            <w:pPr>
              <w:snapToGrid w:val="0"/>
              <w:jc w:val="center"/>
            </w:pPr>
            <w:r>
              <w:rPr>
                <w:rFonts w:ascii="宋体" w:hAnsi="宋体" w:eastAsia="宋体"/>
                <w:sz w:val="16"/>
              </w:rPr>
              <w:t>—</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4D692697">
            <w:pPr>
              <w:snapToGrid w:val="0"/>
              <w:jc w:val="center"/>
            </w:pPr>
            <w:r>
              <w:rPr>
                <w:rFonts w:ascii="宋体" w:hAnsi="宋体" w:eastAsia="宋体"/>
                <w:sz w:val="16"/>
              </w:rPr>
              <w:t>—</w:t>
            </w:r>
          </w:p>
        </w:tc>
      </w:tr>
      <w:tr w14:paraId="138787DE">
        <w:tblPrEx>
          <w:tblCellMar>
            <w:top w:w="32" w:type="dxa"/>
            <w:left w:w="64" w:type="dxa"/>
            <w:bottom w:w="32" w:type="dxa"/>
            <w:right w:w="64" w:type="dxa"/>
          </w:tblCellMar>
        </w:tblPrEx>
        <w:trPr>
          <w:trHeight w:val="0" w:hRule="atLeast"/>
          <w:jc w:val="center"/>
        </w:trPr>
        <w:tc>
          <w:tcPr>
            <w:tcW w:w="307"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441C50E">
            <w:pPr>
              <w:snapToGrid w:val="0"/>
              <w:jc w:val="center"/>
            </w:pPr>
            <w:r>
              <w:rPr>
                <w:rFonts w:ascii="宋体" w:hAnsi="宋体" w:eastAsia="宋体"/>
                <w:sz w:val="16"/>
              </w:rPr>
              <w:t>年度总体目标</w:t>
            </w:r>
          </w:p>
        </w:tc>
        <w:tc>
          <w:tcPr>
            <w:tcW w:w="1998" w:type="pct"/>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B591F31">
            <w:pPr>
              <w:snapToGrid w:val="0"/>
              <w:jc w:val="center"/>
            </w:pPr>
            <w:r>
              <w:rPr>
                <w:rFonts w:ascii="宋体" w:hAnsi="宋体" w:eastAsia="宋体"/>
                <w:sz w:val="16"/>
              </w:rPr>
              <w:t>预期目标</w:t>
            </w:r>
          </w:p>
        </w:tc>
        <w:tc>
          <w:tcPr>
            <w:tcW w:w="2694" w:type="pct"/>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A6D17C5">
            <w:pPr>
              <w:snapToGrid w:val="0"/>
              <w:jc w:val="center"/>
            </w:pPr>
            <w:r>
              <w:rPr>
                <w:rFonts w:ascii="宋体" w:hAnsi="宋体" w:eastAsia="宋体"/>
                <w:sz w:val="16"/>
              </w:rPr>
              <w:t>实际完成情况</w:t>
            </w:r>
          </w:p>
        </w:tc>
      </w:tr>
      <w:tr w14:paraId="544A7A95">
        <w:tblPrEx>
          <w:tblCellMar>
            <w:top w:w="32" w:type="dxa"/>
            <w:left w:w="64" w:type="dxa"/>
            <w:bottom w:w="32" w:type="dxa"/>
            <w:right w:w="64" w:type="dxa"/>
          </w:tblCellMar>
        </w:tblPrEx>
        <w:trPr>
          <w:trHeight w:val="0" w:hRule="atLeast"/>
          <w:jc w:val="center"/>
        </w:trPr>
        <w:tc>
          <w:tcPr>
            <w:tcW w:w="307" w:type="pct"/>
            <w:vMerge w:val="continue"/>
            <w:tcBorders>
              <w:top w:val="single" w:color="auto" w:sz="10" w:space="0"/>
              <w:left w:val="single" w:color="auto" w:sz="10" w:space="0"/>
              <w:bottom w:val="single" w:color="auto" w:sz="10" w:space="0"/>
              <w:right w:val="single" w:color="auto" w:sz="10" w:space="0"/>
              <w:insideV w:val="single" w:sz="10" w:space="0"/>
            </w:tcBorders>
          </w:tcPr>
          <w:p w14:paraId="5B790BBE">
            <w:pPr>
              <w:snapToGrid w:val="0"/>
            </w:pPr>
          </w:p>
        </w:tc>
        <w:tc>
          <w:tcPr>
            <w:tcW w:w="1998" w:type="pct"/>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20730A3">
            <w:pPr>
              <w:snapToGrid w:val="0"/>
              <w:jc w:val="both"/>
            </w:pPr>
            <w:r>
              <w:rPr>
                <w:rFonts w:ascii="宋体" w:hAnsi="宋体" w:eastAsia="宋体"/>
                <w:sz w:val="16"/>
              </w:rPr>
              <w:t>该项目用于我乡在村庄的主要道路和公共活动区域安装60</w:t>
            </w:r>
            <w:r>
              <w:rPr>
                <w:rFonts w:hint="eastAsia" w:ascii="宋体" w:hAnsi="宋体"/>
                <w:sz w:val="16"/>
                <w:lang w:eastAsia="zh-CN"/>
              </w:rPr>
              <w:t>盏</w:t>
            </w:r>
            <w:r>
              <w:rPr>
                <w:rFonts w:ascii="宋体" w:hAnsi="宋体" w:eastAsia="宋体"/>
                <w:sz w:val="16"/>
              </w:rPr>
              <w:t>路灯，确保夜间照明充足，方便村民夜间出行和活动。对村庄内的500平方米泥土路面进行硬化处理，采用耐磨、防滑的材料，道路绿化面积500平</w:t>
            </w:r>
            <w:r>
              <w:rPr>
                <w:rFonts w:hint="eastAsia" w:ascii="宋体" w:hAnsi="宋体"/>
                <w:sz w:val="16"/>
                <w:lang w:eastAsia="zh-CN"/>
              </w:rPr>
              <w:t>方米</w:t>
            </w:r>
            <w:r>
              <w:rPr>
                <w:rFonts w:ascii="宋体" w:hAnsi="宋体" w:eastAsia="宋体"/>
                <w:sz w:val="16"/>
              </w:rPr>
              <w:t>，提高路面的使用寿命和安全性。在村庄的关键路段和公共区域安装总长4000米的防护栏，以防止人畜误入危险区域，保障村民的生命财产安全。提升村庄的整体形象，吸引外部投资，促进乡村旅游等产业的发展，为村庄带来长远的经济效益。</w:t>
            </w:r>
          </w:p>
        </w:tc>
        <w:tc>
          <w:tcPr>
            <w:tcW w:w="2694" w:type="pct"/>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6A6305E">
            <w:pPr>
              <w:snapToGrid w:val="0"/>
              <w:jc w:val="both"/>
            </w:pPr>
            <w:r>
              <w:rPr>
                <w:rFonts w:hint="eastAsia" w:ascii="宋体" w:hAnsi="宋体"/>
                <w:sz w:val="16"/>
                <w:lang w:eastAsia="zh-CN"/>
              </w:rPr>
              <w:t>截至</w:t>
            </w:r>
            <w:r>
              <w:rPr>
                <w:rFonts w:ascii="宋体" w:hAnsi="宋体" w:eastAsia="宋体"/>
                <w:sz w:val="16"/>
              </w:rPr>
              <w:t>2024年12月31日，该项目已全部完工，项目用于我乡在村庄的主要道路和公共活动区域安装60</w:t>
            </w:r>
            <w:r>
              <w:rPr>
                <w:rFonts w:hint="eastAsia" w:ascii="宋体" w:hAnsi="宋体"/>
                <w:sz w:val="16"/>
                <w:lang w:eastAsia="zh-CN"/>
              </w:rPr>
              <w:t>盏</w:t>
            </w:r>
            <w:r>
              <w:rPr>
                <w:rFonts w:ascii="宋体" w:hAnsi="宋体" w:eastAsia="宋体"/>
                <w:sz w:val="16"/>
              </w:rPr>
              <w:t>路灯，确保了夜间照明充足，方便村民夜间出行和活动。</w:t>
            </w:r>
            <w:r>
              <w:rPr>
                <w:rFonts w:hint="eastAsia" w:ascii="宋体" w:hAnsi="宋体"/>
                <w:sz w:val="16"/>
                <w:lang w:eastAsia="zh-CN"/>
              </w:rPr>
              <w:t>对</w:t>
            </w:r>
            <w:r>
              <w:rPr>
                <w:rFonts w:ascii="宋体" w:hAnsi="宋体" w:eastAsia="宋体"/>
                <w:sz w:val="16"/>
              </w:rPr>
              <w:t>村庄内的500平方米泥土路面进行了硬化处理，采用耐磨、防滑的材料，并对道路绿化面积500平</w:t>
            </w:r>
            <w:r>
              <w:rPr>
                <w:rFonts w:hint="eastAsia" w:ascii="宋体" w:hAnsi="宋体"/>
                <w:sz w:val="16"/>
                <w:lang w:eastAsia="zh-CN"/>
              </w:rPr>
              <w:t>方米</w:t>
            </w:r>
            <w:r>
              <w:rPr>
                <w:rFonts w:ascii="宋体" w:hAnsi="宋体" w:eastAsia="宋体"/>
                <w:sz w:val="16"/>
              </w:rPr>
              <w:t>，提高了路面的使用寿命和安全性。在村庄的关键路段和公共区域安装了总长4000米的防护栏，以防止人畜误入危险区域，保障了村民的生命财产安全。</w:t>
            </w:r>
          </w:p>
        </w:tc>
      </w:tr>
      <w:tr w14:paraId="683F5082">
        <w:tblPrEx>
          <w:tblCellMar>
            <w:top w:w="32" w:type="dxa"/>
            <w:left w:w="64" w:type="dxa"/>
            <w:bottom w:w="32" w:type="dxa"/>
            <w:right w:w="64" w:type="dxa"/>
          </w:tblCellMar>
        </w:tblPrEx>
        <w:trPr>
          <w:trHeight w:val="0" w:hRule="atLeast"/>
          <w:jc w:val="center"/>
        </w:trPr>
        <w:tc>
          <w:tcPr>
            <w:tcW w:w="307" w:type="pct"/>
            <w:tcBorders>
              <w:top w:val="single" w:color="auto" w:sz="10" w:space="0"/>
              <w:left w:val="single" w:color="auto" w:sz="10" w:space="0"/>
              <w:bottom w:val="single" w:color="auto" w:sz="10" w:space="0"/>
              <w:right w:val="single" w:color="auto" w:sz="10" w:space="0"/>
              <w:insideV w:val="single" w:sz="10" w:space="0"/>
            </w:tcBorders>
          </w:tcPr>
          <w:p w14:paraId="725B58C5">
            <w:pPr>
              <w:snapToGrid w:val="0"/>
            </w:pPr>
          </w:p>
        </w:tc>
        <w:tc>
          <w:tcPr>
            <w:tcW w:w="517" w:type="pct"/>
            <w:tcBorders>
              <w:top w:val="single" w:color="auto" w:sz="10" w:space="0"/>
              <w:left w:val="single" w:color="auto" w:sz="10" w:space="0"/>
              <w:bottom w:val="single" w:color="auto" w:sz="10" w:space="0"/>
              <w:right w:val="single" w:color="auto" w:sz="10" w:space="0"/>
              <w:insideV w:val="single" w:sz="10" w:space="0"/>
            </w:tcBorders>
            <w:vAlign w:val="center"/>
          </w:tcPr>
          <w:p w14:paraId="6A0EB12E">
            <w:pPr>
              <w:snapToGrid w:val="0"/>
              <w:jc w:val="center"/>
            </w:pPr>
            <w:r>
              <w:rPr>
                <w:rFonts w:ascii="宋体" w:hAnsi="宋体" w:eastAsia="宋体"/>
                <w:sz w:val="16"/>
              </w:rPr>
              <w:t>一级指标</w:t>
            </w:r>
          </w:p>
        </w:tc>
        <w:tc>
          <w:tcPr>
            <w:tcW w:w="582" w:type="pct"/>
            <w:tcBorders>
              <w:top w:val="single" w:color="auto" w:sz="10" w:space="0"/>
              <w:left w:val="single" w:color="auto" w:sz="10" w:space="0"/>
              <w:bottom w:val="single" w:color="auto" w:sz="10" w:space="0"/>
              <w:right w:val="single" w:color="auto" w:sz="10" w:space="0"/>
              <w:insideV w:val="single" w:sz="10" w:space="0"/>
            </w:tcBorders>
            <w:vAlign w:val="center"/>
          </w:tcPr>
          <w:p w14:paraId="370A7AFC">
            <w:pPr>
              <w:snapToGrid w:val="0"/>
              <w:jc w:val="center"/>
            </w:pPr>
            <w:r>
              <w:rPr>
                <w:rFonts w:ascii="宋体" w:hAnsi="宋体" w:eastAsia="宋体"/>
                <w:sz w:val="16"/>
              </w:rPr>
              <w:t>二级指标</w:t>
            </w: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5B33DD3E">
            <w:pPr>
              <w:snapToGrid w:val="0"/>
              <w:jc w:val="center"/>
            </w:pPr>
            <w:r>
              <w:rPr>
                <w:rFonts w:ascii="宋体" w:hAnsi="宋体" w:eastAsia="宋体"/>
                <w:sz w:val="16"/>
              </w:rPr>
              <w:t>三级指标</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0EEB8B10">
            <w:pPr>
              <w:snapToGrid w:val="0"/>
              <w:jc w:val="center"/>
            </w:pPr>
            <w:r>
              <w:rPr>
                <w:rFonts w:ascii="宋体" w:hAnsi="宋体" w:eastAsia="宋体"/>
                <w:sz w:val="16"/>
              </w:rPr>
              <w:t>年度指标值</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72598F7D">
            <w:pPr>
              <w:snapToGrid w:val="0"/>
              <w:jc w:val="center"/>
            </w:pPr>
            <w:r>
              <w:rPr>
                <w:rFonts w:ascii="宋体" w:hAnsi="宋体" w:eastAsia="宋体"/>
                <w:sz w:val="16"/>
              </w:rPr>
              <w:t>实际完成值</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72467D7C">
            <w:pPr>
              <w:snapToGrid w:val="0"/>
              <w:jc w:val="center"/>
            </w:pPr>
            <w:r>
              <w:rPr>
                <w:rFonts w:ascii="宋体" w:hAnsi="宋体" w:eastAsia="宋体"/>
                <w:sz w:val="16"/>
              </w:rPr>
              <w:t>分值</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684027CD">
            <w:pPr>
              <w:snapToGrid w:val="0"/>
              <w:jc w:val="center"/>
            </w:pPr>
            <w:r>
              <w:rPr>
                <w:rFonts w:ascii="宋体" w:hAnsi="宋体" w:eastAsia="宋体"/>
                <w:sz w:val="16"/>
              </w:rPr>
              <w:t>得分</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5A6933A2">
            <w:pPr>
              <w:snapToGrid w:val="0"/>
              <w:jc w:val="center"/>
            </w:pPr>
            <w:r>
              <w:rPr>
                <w:rFonts w:ascii="宋体" w:hAnsi="宋体" w:eastAsia="宋体"/>
                <w:sz w:val="16"/>
              </w:rPr>
              <w:t>偏差原因分析及改进措施</w:t>
            </w:r>
          </w:p>
        </w:tc>
      </w:tr>
      <w:tr w14:paraId="06D6D316">
        <w:tblPrEx>
          <w:tblCellMar>
            <w:top w:w="32" w:type="dxa"/>
            <w:left w:w="64" w:type="dxa"/>
            <w:bottom w:w="32" w:type="dxa"/>
            <w:right w:w="64" w:type="dxa"/>
          </w:tblCellMar>
        </w:tblPrEx>
        <w:trPr>
          <w:trHeight w:val="0" w:hRule="atLeast"/>
          <w:jc w:val="center"/>
        </w:trPr>
        <w:tc>
          <w:tcPr>
            <w:tcW w:w="307"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155FE81">
            <w:pPr>
              <w:snapToGrid w:val="0"/>
              <w:jc w:val="center"/>
            </w:pPr>
            <w:r>
              <w:rPr>
                <w:rFonts w:ascii="宋体" w:hAnsi="宋体" w:eastAsia="宋体"/>
                <w:sz w:val="16"/>
              </w:rPr>
              <w:t>年度绩效指标完成情况</w:t>
            </w:r>
          </w:p>
        </w:tc>
        <w:tc>
          <w:tcPr>
            <w:tcW w:w="517"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27C135D">
            <w:pPr>
              <w:snapToGrid w:val="0"/>
              <w:jc w:val="center"/>
            </w:pPr>
            <w:r>
              <w:rPr>
                <w:rFonts w:ascii="宋体" w:hAnsi="宋体" w:eastAsia="宋体"/>
                <w:sz w:val="16"/>
              </w:rPr>
              <w:t>产出指标</w:t>
            </w:r>
          </w:p>
        </w:tc>
        <w:tc>
          <w:tcPr>
            <w:tcW w:w="582"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7E9E7A">
            <w:pPr>
              <w:snapToGrid w:val="0"/>
              <w:jc w:val="center"/>
            </w:pPr>
            <w:r>
              <w:rPr>
                <w:rFonts w:ascii="宋体" w:hAnsi="宋体" w:eastAsia="宋体"/>
                <w:sz w:val="16"/>
              </w:rPr>
              <w:t>数量指标</w:t>
            </w: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5A61AA54">
            <w:pPr>
              <w:snapToGrid w:val="0"/>
              <w:jc w:val="center"/>
            </w:pPr>
            <w:r>
              <w:rPr>
                <w:rFonts w:ascii="宋体" w:hAnsi="宋体" w:eastAsia="宋体"/>
                <w:sz w:val="16"/>
              </w:rPr>
              <w:t>安装防护栏长度</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0736FB29">
            <w:pPr>
              <w:snapToGrid w:val="0"/>
              <w:jc w:val="center"/>
            </w:pPr>
            <w:r>
              <w:rPr>
                <w:rFonts w:ascii="宋体" w:hAnsi="宋体" w:eastAsia="宋体"/>
                <w:sz w:val="16"/>
              </w:rPr>
              <w:t>&gt;=4000米</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040BDE6F">
            <w:pPr>
              <w:snapToGrid w:val="0"/>
              <w:jc w:val="center"/>
            </w:pPr>
            <w:r>
              <w:rPr>
                <w:rFonts w:ascii="宋体" w:hAnsi="宋体" w:eastAsia="宋体"/>
                <w:sz w:val="16"/>
              </w:rPr>
              <w:t>=4000米</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4196D56F">
            <w:pPr>
              <w:snapToGrid w:val="0"/>
              <w:jc w:val="center"/>
            </w:pPr>
            <w:r>
              <w:rPr>
                <w:rFonts w:ascii="宋体" w:hAnsi="宋体" w:eastAsia="宋体"/>
                <w:sz w:val="16"/>
              </w:rPr>
              <w:t>8</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51A92FF0">
            <w:pPr>
              <w:snapToGrid w:val="0"/>
              <w:jc w:val="center"/>
            </w:pPr>
            <w:r>
              <w:rPr>
                <w:rFonts w:ascii="宋体" w:hAnsi="宋体" w:eastAsia="宋体"/>
                <w:sz w:val="16"/>
              </w:rPr>
              <w:t>8</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77C19A8C">
            <w:pPr>
              <w:snapToGrid w:val="0"/>
              <w:jc w:val="center"/>
            </w:pPr>
          </w:p>
        </w:tc>
      </w:tr>
      <w:tr w14:paraId="66E8C111">
        <w:tblPrEx>
          <w:tblCellMar>
            <w:top w:w="32" w:type="dxa"/>
            <w:left w:w="64" w:type="dxa"/>
            <w:bottom w:w="32" w:type="dxa"/>
            <w:right w:w="64" w:type="dxa"/>
          </w:tblCellMar>
        </w:tblPrEx>
        <w:trPr>
          <w:trHeight w:val="0" w:hRule="atLeast"/>
          <w:jc w:val="center"/>
        </w:trPr>
        <w:tc>
          <w:tcPr>
            <w:tcW w:w="307" w:type="pct"/>
            <w:vMerge w:val="continue"/>
            <w:tcBorders>
              <w:top w:val="single" w:color="auto" w:sz="10" w:space="0"/>
              <w:left w:val="single" w:color="auto" w:sz="10" w:space="0"/>
              <w:bottom w:val="single" w:color="auto" w:sz="10" w:space="0"/>
              <w:right w:val="single" w:color="auto" w:sz="10" w:space="0"/>
              <w:insideV w:val="single" w:sz="10" w:space="0"/>
            </w:tcBorders>
          </w:tcPr>
          <w:p w14:paraId="00E88F11">
            <w:pPr>
              <w:snapToGrid w:val="0"/>
            </w:pPr>
          </w:p>
        </w:tc>
        <w:tc>
          <w:tcPr>
            <w:tcW w:w="517" w:type="pct"/>
            <w:vMerge w:val="continue"/>
            <w:tcBorders>
              <w:top w:val="single" w:color="auto" w:sz="10" w:space="0"/>
              <w:left w:val="single" w:color="auto" w:sz="10" w:space="0"/>
              <w:bottom w:val="single" w:color="auto" w:sz="10" w:space="0"/>
              <w:right w:val="single" w:color="auto" w:sz="10" w:space="0"/>
              <w:insideV w:val="single" w:sz="10" w:space="0"/>
            </w:tcBorders>
          </w:tcPr>
          <w:p w14:paraId="3FBE7F8F">
            <w:pPr>
              <w:snapToGrid w:val="0"/>
            </w:pPr>
          </w:p>
        </w:tc>
        <w:tc>
          <w:tcPr>
            <w:tcW w:w="582" w:type="pct"/>
            <w:vMerge w:val="continue"/>
            <w:tcBorders>
              <w:top w:val="single" w:color="auto" w:sz="10" w:space="0"/>
              <w:left w:val="single" w:color="auto" w:sz="10" w:space="0"/>
              <w:bottom w:val="single" w:color="auto" w:sz="10" w:space="0"/>
              <w:right w:val="single" w:color="auto" w:sz="10" w:space="0"/>
              <w:insideV w:val="single" w:sz="10" w:space="0"/>
            </w:tcBorders>
          </w:tcPr>
          <w:p w14:paraId="51AEF22E">
            <w:pPr>
              <w:snapToGrid w:val="0"/>
            </w:pP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42F1080D">
            <w:pPr>
              <w:snapToGrid w:val="0"/>
              <w:jc w:val="center"/>
            </w:pPr>
            <w:r>
              <w:rPr>
                <w:rFonts w:ascii="宋体" w:hAnsi="宋体" w:eastAsia="宋体"/>
                <w:sz w:val="16"/>
              </w:rPr>
              <w:t>安装路灯数量</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7E4919F9">
            <w:pPr>
              <w:snapToGrid w:val="0"/>
              <w:jc w:val="center"/>
            </w:pPr>
            <w:r>
              <w:rPr>
                <w:rFonts w:ascii="宋体" w:hAnsi="宋体" w:eastAsia="宋体"/>
                <w:sz w:val="16"/>
              </w:rPr>
              <w:t>&gt;=60个</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2B04CFF4">
            <w:pPr>
              <w:snapToGrid w:val="0"/>
              <w:jc w:val="center"/>
            </w:pPr>
            <w:r>
              <w:rPr>
                <w:rFonts w:ascii="宋体" w:hAnsi="宋体" w:eastAsia="宋体"/>
                <w:sz w:val="16"/>
              </w:rPr>
              <w:t>=60个</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53E40ED0">
            <w:pPr>
              <w:snapToGrid w:val="0"/>
              <w:jc w:val="center"/>
            </w:pPr>
            <w:r>
              <w:rPr>
                <w:rFonts w:ascii="宋体" w:hAnsi="宋体" w:eastAsia="宋体"/>
                <w:sz w:val="16"/>
              </w:rPr>
              <w:t>7</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205F5EE4">
            <w:pPr>
              <w:snapToGrid w:val="0"/>
              <w:jc w:val="center"/>
            </w:pPr>
            <w:r>
              <w:rPr>
                <w:rFonts w:ascii="宋体" w:hAnsi="宋体" w:eastAsia="宋体"/>
                <w:sz w:val="16"/>
              </w:rPr>
              <w:t>7</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4AD444CE">
            <w:pPr>
              <w:snapToGrid w:val="0"/>
              <w:jc w:val="center"/>
            </w:pPr>
          </w:p>
        </w:tc>
      </w:tr>
      <w:tr w14:paraId="1E972E1D">
        <w:tblPrEx>
          <w:tblCellMar>
            <w:top w:w="32" w:type="dxa"/>
            <w:left w:w="64" w:type="dxa"/>
            <w:bottom w:w="32" w:type="dxa"/>
            <w:right w:w="64" w:type="dxa"/>
          </w:tblCellMar>
        </w:tblPrEx>
        <w:trPr>
          <w:trHeight w:val="0" w:hRule="atLeast"/>
          <w:jc w:val="center"/>
        </w:trPr>
        <w:tc>
          <w:tcPr>
            <w:tcW w:w="307" w:type="pct"/>
            <w:vMerge w:val="continue"/>
            <w:tcBorders>
              <w:top w:val="single" w:color="auto" w:sz="10" w:space="0"/>
              <w:left w:val="single" w:color="auto" w:sz="10" w:space="0"/>
              <w:bottom w:val="single" w:color="auto" w:sz="10" w:space="0"/>
              <w:right w:val="single" w:color="auto" w:sz="10" w:space="0"/>
              <w:insideV w:val="single" w:sz="10" w:space="0"/>
            </w:tcBorders>
          </w:tcPr>
          <w:p w14:paraId="2104CA9D">
            <w:pPr>
              <w:snapToGrid w:val="0"/>
            </w:pPr>
          </w:p>
        </w:tc>
        <w:tc>
          <w:tcPr>
            <w:tcW w:w="517" w:type="pct"/>
            <w:vMerge w:val="continue"/>
            <w:tcBorders>
              <w:top w:val="single" w:color="auto" w:sz="10" w:space="0"/>
              <w:left w:val="single" w:color="auto" w:sz="10" w:space="0"/>
              <w:bottom w:val="single" w:color="auto" w:sz="10" w:space="0"/>
              <w:right w:val="single" w:color="auto" w:sz="10" w:space="0"/>
              <w:insideV w:val="single" w:sz="10" w:space="0"/>
            </w:tcBorders>
          </w:tcPr>
          <w:p w14:paraId="25C0E816">
            <w:pPr>
              <w:snapToGrid w:val="0"/>
            </w:pPr>
          </w:p>
        </w:tc>
        <w:tc>
          <w:tcPr>
            <w:tcW w:w="582" w:type="pct"/>
            <w:vMerge w:val="continue"/>
            <w:tcBorders>
              <w:top w:val="single" w:color="auto" w:sz="10" w:space="0"/>
              <w:left w:val="single" w:color="auto" w:sz="10" w:space="0"/>
              <w:bottom w:val="single" w:color="auto" w:sz="10" w:space="0"/>
              <w:right w:val="single" w:color="auto" w:sz="10" w:space="0"/>
              <w:insideV w:val="single" w:sz="10" w:space="0"/>
            </w:tcBorders>
          </w:tcPr>
          <w:p w14:paraId="5E70160F">
            <w:pPr>
              <w:snapToGrid w:val="0"/>
            </w:pP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6722FD7C">
            <w:pPr>
              <w:snapToGrid w:val="0"/>
              <w:jc w:val="center"/>
            </w:pPr>
            <w:r>
              <w:rPr>
                <w:rFonts w:ascii="宋体" w:hAnsi="宋体" w:eastAsia="宋体"/>
                <w:sz w:val="16"/>
              </w:rPr>
              <w:t>地面硬化绿化面积</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7B68B917">
            <w:pPr>
              <w:snapToGrid w:val="0"/>
              <w:jc w:val="center"/>
            </w:pPr>
            <w:r>
              <w:rPr>
                <w:rFonts w:ascii="宋体" w:hAnsi="宋体" w:eastAsia="宋体"/>
                <w:sz w:val="16"/>
              </w:rPr>
              <w:t>&gt;=1000平方米</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0339D472">
            <w:pPr>
              <w:snapToGrid w:val="0"/>
              <w:jc w:val="center"/>
            </w:pPr>
            <w:r>
              <w:rPr>
                <w:rFonts w:ascii="宋体" w:hAnsi="宋体" w:eastAsia="宋体"/>
                <w:sz w:val="16"/>
              </w:rPr>
              <w:t>=1000平方米</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2C0831D7">
            <w:pPr>
              <w:snapToGrid w:val="0"/>
              <w:jc w:val="center"/>
            </w:pPr>
            <w:r>
              <w:rPr>
                <w:rFonts w:ascii="宋体" w:hAnsi="宋体" w:eastAsia="宋体"/>
                <w:sz w:val="16"/>
              </w:rPr>
              <w:t>9</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35AD1FBA">
            <w:pPr>
              <w:snapToGrid w:val="0"/>
              <w:jc w:val="center"/>
            </w:pPr>
            <w:r>
              <w:rPr>
                <w:rFonts w:ascii="宋体" w:hAnsi="宋体" w:eastAsia="宋体"/>
                <w:sz w:val="16"/>
              </w:rPr>
              <w:t>9</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7627E1C4">
            <w:pPr>
              <w:snapToGrid w:val="0"/>
              <w:jc w:val="center"/>
            </w:pPr>
          </w:p>
        </w:tc>
      </w:tr>
      <w:tr w14:paraId="45569353">
        <w:tblPrEx>
          <w:tblCellMar>
            <w:top w:w="32" w:type="dxa"/>
            <w:left w:w="64" w:type="dxa"/>
            <w:bottom w:w="32" w:type="dxa"/>
            <w:right w:w="64" w:type="dxa"/>
          </w:tblCellMar>
        </w:tblPrEx>
        <w:trPr>
          <w:trHeight w:val="0" w:hRule="atLeast"/>
          <w:jc w:val="center"/>
        </w:trPr>
        <w:tc>
          <w:tcPr>
            <w:tcW w:w="307" w:type="pct"/>
            <w:vMerge w:val="continue"/>
            <w:tcBorders>
              <w:top w:val="single" w:color="auto" w:sz="10" w:space="0"/>
              <w:left w:val="single" w:color="auto" w:sz="10" w:space="0"/>
              <w:bottom w:val="single" w:color="auto" w:sz="10" w:space="0"/>
              <w:right w:val="single" w:color="auto" w:sz="10" w:space="0"/>
              <w:insideV w:val="single" w:sz="10" w:space="0"/>
            </w:tcBorders>
          </w:tcPr>
          <w:p w14:paraId="51A5C4A2">
            <w:pPr>
              <w:snapToGrid w:val="0"/>
            </w:pPr>
          </w:p>
        </w:tc>
        <w:tc>
          <w:tcPr>
            <w:tcW w:w="517" w:type="pct"/>
            <w:vMerge w:val="continue"/>
            <w:tcBorders>
              <w:top w:val="single" w:color="auto" w:sz="10" w:space="0"/>
              <w:left w:val="single" w:color="auto" w:sz="10" w:space="0"/>
              <w:bottom w:val="single" w:color="auto" w:sz="10" w:space="0"/>
              <w:right w:val="single" w:color="auto" w:sz="10" w:space="0"/>
              <w:insideV w:val="single" w:sz="10" w:space="0"/>
            </w:tcBorders>
          </w:tcPr>
          <w:p w14:paraId="56FCA4AD">
            <w:pPr>
              <w:snapToGrid w:val="0"/>
            </w:pPr>
          </w:p>
        </w:tc>
        <w:tc>
          <w:tcPr>
            <w:tcW w:w="582"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48E9751">
            <w:pPr>
              <w:snapToGrid w:val="0"/>
              <w:jc w:val="center"/>
            </w:pPr>
            <w:r>
              <w:rPr>
                <w:rFonts w:ascii="宋体" w:hAnsi="宋体" w:eastAsia="宋体"/>
                <w:sz w:val="16"/>
              </w:rPr>
              <w:t>质量指标</w:t>
            </w: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6FE70B6B">
            <w:pPr>
              <w:snapToGrid w:val="0"/>
              <w:jc w:val="center"/>
            </w:pPr>
            <w:r>
              <w:rPr>
                <w:rFonts w:ascii="宋体" w:hAnsi="宋体" w:eastAsia="宋体"/>
                <w:sz w:val="16"/>
              </w:rPr>
              <w:t>项目竣工验收合格率</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7E69886E">
            <w:pPr>
              <w:snapToGrid w:val="0"/>
              <w:jc w:val="center"/>
            </w:pPr>
            <w:r>
              <w:rPr>
                <w:rFonts w:ascii="宋体" w:hAnsi="宋体" w:eastAsia="宋体"/>
                <w:sz w:val="16"/>
              </w:rPr>
              <w:t>=100%</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6F3421DD">
            <w:pPr>
              <w:snapToGrid w:val="0"/>
              <w:jc w:val="center"/>
            </w:pPr>
            <w:r>
              <w:rPr>
                <w:rFonts w:ascii="宋体" w:hAnsi="宋体" w:eastAsia="宋体"/>
                <w:sz w:val="16"/>
              </w:rPr>
              <w:t>=100%</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777F97D2">
            <w:pPr>
              <w:snapToGrid w:val="0"/>
              <w:jc w:val="center"/>
            </w:pPr>
            <w:r>
              <w:rPr>
                <w:rFonts w:ascii="宋体" w:hAnsi="宋体" w:eastAsia="宋体"/>
                <w:sz w:val="16"/>
              </w:rPr>
              <w:t>5</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45645B8E">
            <w:pPr>
              <w:snapToGrid w:val="0"/>
              <w:jc w:val="center"/>
            </w:pPr>
            <w:r>
              <w:rPr>
                <w:rFonts w:ascii="宋体" w:hAnsi="宋体" w:eastAsia="宋体"/>
                <w:sz w:val="16"/>
              </w:rPr>
              <w:t>5</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5B266962">
            <w:pPr>
              <w:snapToGrid w:val="0"/>
              <w:jc w:val="center"/>
            </w:pPr>
          </w:p>
        </w:tc>
      </w:tr>
      <w:tr w14:paraId="4A360972">
        <w:tblPrEx>
          <w:tblCellMar>
            <w:top w:w="32" w:type="dxa"/>
            <w:left w:w="64" w:type="dxa"/>
            <w:bottom w:w="32" w:type="dxa"/>
            <w:right w:w="64" w:type="dxa"/>
          </w:tblCellMar>
        </w:tblPrEx>
        <w:trPr>
          <w:trHeight w:val="0" w:hRule="atLeast"/>
          <w:jc w:val="center"/>
        </w:trPr>
        <w:tc>
          <w:tcPr>
            <w:tcW w:w="307" w:type="pct"/>
            <w:vMerge w:val="continue"/>
            <w:tcBorders>
              <w:top w:val="single" w:color="auto" w:sz="10" w:space="0"/>
              <w:left w:val="single" w:color="auto" w:sz="10" w:space="0"/>
              <w:bottom w:val="single" w:color="auto" w:sz="10" w:space="0"/>
              <w:right w:val="single" w:color="auto" w:sz="10" w:space="0"/>
              <w:insideV w:val="single" w:sz="10" w:space="0"/>
            </w:tcBorders>
          </w:tcPr>
          <w:p w14:paraId="4EDC850C">
            <w:pPr>
              <w:snapToGrid w:val="0"/>
            </w:pPr>
          </w:p>
        </w:tc>
        <w:tc>
          <w:tcPr>
            <w:tcW w:w="517" w:type="pct"/>
            <w:vMerge w:val="continue"/>
            <w:tcBorders>
              <w:top w:val="single" w:color="auto" w:sz="10" w:space="0"/>
              <w:left w:val="single" w:color="auto" w:sz="10" w:space="0"/>
              <w:bottom w:val="single" w:color="auto" w:sz="10" w:space="0"/>
              <w:right w:val="single" w:color="auto" w:sz="10" w:space="0"/>
              <w:insideV w:val="single" w:sz="10" w:space="0"/>
            </w:tcBorders>
          </w:tcPr>
          <w:p w14:paraId="276243A5">
            <w:pPr>
              <w:snapToGrid w:val="0"/>
            </w:pPr>
          </w:p>
        </w:tc>
        <w:tc>
          <w:tcPr>
            <w:tcW w:w="582" w:type="pct"/>
            <w:vMerge w:val="continue"/>
            <w:tcBorders>
              <w:top w:val="single" w:color="auto" w:sz="10" w:space="0"/>
              <w:left w:val="single" w:color="auto" w:sz="10" w:space="0"/>
              <w:bottom w:val="single" w:color="auto" w:sz="10" w:space="0"/>
              <w:right w:val="single" w:color="auto" w:sz="10" w:space="0"/>
              <w:insideV w:val="single" w:sz="10" w:space="0"/>
            </w:tcBorders>
          </w:tcPr>
          <w:p w14:paraId="39AA252D">
            <w:pPr>
              <w:snapToGrid w:val="0"/>
            </w:pP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226D7B5F">
            <w:pPr>
              <w:snapToGrid w:val="0"/>
              <w:jc w:val="center"/>
            </w:pPr>
            <w:r>
              <w:rPr>
                <w:rFonts w:ascii="宋体" w:hAnsi="宋体" w:eastAsia="宋体"/>
                <w:sz w:val="16"/>
              </w:rPr>
              <w:t>采购验收合格率</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78DA2FC3">
            <w:pPr>
              <w:snapToGrid w:val="0"/>
              <w:jc w:val="center"/>
            </w:pPr>
            <w:r>
              <w:rPr>
                <w:rFonts w:ascii="宋体" w:hAnsi="宋体" w:eastAsia="宋体"/>
                <w:sz w:val="16"/>
              </w:rPr>
              <w:t>=100%</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7D6C9149">
            <w:pPr>
              <w:snapToGrid w:val="0"/>
              <w:jc w:val="center"/>
            </w:pPr>
            <w:r>
              <w:rPr>
                <w:rFonts w:ascii="宋体" w:hAnsi="宋体" w:eastAsia="宋体"/>
                <w:sz w:val="16"/>
              </w:rPr>
              <w:t>=100%</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18F2B69F">
            <w:pPr>
              <w:snapToGrid w:val="0"/>
              <w:jc w:val="center"/>
            </w:pPr>
            <w:r>
              <w:rPr>
                <w:rFonts w:ascii="宋体" w:hAnsi="宋体" w:eastAsia="宋体"/>
                <w:sz w:val="16"/>
              </w:rPr>
              <w:t>6</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56AA4F13">
            <w:pPr>
              <w:snapToGrid w:val="0"/>
              <w:jc w:val="center"/>
            </w:pPr>
            <w:r>
              <w:rPr>
                <w:rFonts w:ascii="宋体" w:hAnsi="宋体" w:eastAsia="宋体"/>
                <w:sz w:val="16"/>
              </w:rPr>
              <w:t>6</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484DBB5E">
            <w:pPr>
              <w:snapToGrid w:val="0"/>
              <w:jc w:val="center"/>
            </w:pPr>
          </w:p>
        </w:tc>
      </w:tr>
      <w:tr w14:paraId="34D6DAB7">
        <w:tblPrEx>
          <w:tblCellMar>
            <w:top w:w="32" w:type="dxa"/>
            <w:left w:w="64" w:type="dxa"/>
            <w:bottom w:w="32" w:type="dxa"/>
            <w:right w:w="64" w:type="dxa"/>
          </w:tblCellMar>
        </w:tblPrEx>
        <w:trPr>
          <w:trHeight w:val="0" w:hRule="atLeast"/>
          <w:jc w:val="center"/>
        </w:trPr>
        <w:tc>
          <w:tcPr>
            <w:tcW w:w="307" w:type="pct"/>
            <w:vMerge w:val="continue"/>
            <w:tcBorders>
              <w:top w:val="single" w:color="auto" w:sz="10" w:space="0"/>
              <w:left w:val="single" w:color="auto" w:sz="10" w:space="0"/>
              <w:bottom w:val="single" w:color="auto" w:sz="10" w:space="0"/>
              <w:right w:val="single" w:color="auto" w:sz="10" w:space="0"/>
              <w:insideV w:val="single" w:sz="10" w:space="0"/>
            </w:tcBorders>
          </w:tcPr>
          <w:p w14:paraId="7CFBA0FD">
            <w:pPr>
              <w:snapToGrid w:val="0"/>
            </w:pPr>
          </w:p>
        </w:tc>
        <w:tc>
          <w:tcPr>
            <w:tcW w:w="517" w:type="pct"/>
            <w:vMerge w:val="continue"/>
            <w:tcBorders>
              <w:top w:val="single" w:color="auto" w:sz="10" w:space="0"/>
              <w:left w:val="single" w:color="auto" w:sz="10" w:space="0"/>
              <w:bottom w:val="single" w:color="auto" w:sz="10" w:space="0"/>
              <w:right w:val="single" w:color="auto" w:sz="10" w:space="0"/>
              <w:insideV w:val="single" w:sz="10" w:space="0"/>
            </w:tcBorders>
          </w:tcPr>
          <w:p w14:paraId="7116FAC1">
            <w:pPr>
              <w:snapToGrid w:val="0"/>
            </w:pPr>
          </w:p>
        </w:tc>
        <w:tc>
          <w:tcPr>
            <w:tcW w:w="582" w:type="pct"/>
            <w:tcBorders>
              <w:top w:val="single" w:color="auto" w:sz="10" w:space="0"/>
              <w:left w:val="single" w:color="auto" w:sz="10" w:space="0"/>
              <w:bottom w:val="single" w:color="auto" w:sz="10" w:space="0"/>
              <w:right w:val="single" w:color="auto" w:sz="10" w:space="0"/>
              <w:insideV w:val="single" w:sz="10" w:space="0"/>
            </w:tcBorders>
            <w:vAlign w:val="center"/>
          </w:tcPr>
          <w:p w14:paraId="72B64F3D">
            <w:pPr>
              <w:snapToGrid w:val="0"/>
              <w:jc w:val="center"/>
            </w:pPr>
            <w:r>
              <w:rPr>
                <w:rFonts w:ascii="宋体" w:hAnsi="宋体" w:eastAsia="宋体"/>
                <w:sz w:val="16"/>
              </w:rPr>
              <w:t>时效指标</w:t>
            </w: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43EBADB4">
            <w:pPr>
              <w:snapToGrid w:val="0"/>
              <w:jc w:val="center"/>
            </w:pPr>
            <w:r>
              <w:rPr>
                <w:rFonts w:ascii="宋体" w:hAnsi="宋体" w:eastAsia="宋体"/>
                <w:sz w:val="16"/>
              </w:rPr>
              <w:t>项目完工时间</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6386FE93">
            <w:pPr>
              <w:snapToGrid w:val="0"/>
              <w:jc w:val="center"/>
            </w:pPr>
            <w:r>
              <w:rPr>
                <w:rFonts w:ascii="宋体" w:hAnsi="宋体" w:eastAsia="宋体"/>
                <w:sz w:val="16"/>
              </w:rPr>
              <w:t>2024年12月31日前</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21F774D5">
            <w:pPr>
              <w:snapToGrid w:val="0"/>
              <w:jc w:val="center"/>
            </w:pPr>
            <w:r>
              <w:rPr>
                <w:rFonts w:ascii="宋体" w:hAnsi="宋体" w:eastAsia="宋体"/>
                <w:sz w:val="16"/>
              </w:rPr>
              <w:tab/>
            </w:r>
            <w:r>
              <w:rPr>
                <w:rFonts w:ascii="宋体" w:hAnsi="宋体" w:eastAsia="宋体"/>
                <w:sz w:val="16"/>
              </w:rPr>
              <w:t>2024年12月31日</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6D8D2590">
            <w:pPr>
              <w:snapToGrid w:val="0"/>
              <w:jc w:val="center"/>
            </w:pPr>
            <w:r>
              <w:rPr>
                <w:rFonts w:ascii="宋体" w:hAnsi="宋体" w:eastAsia="宋体"/>
                <w:sz w:val="16"/>
              </w:rPr>
              <w:t>5</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37FA4B05">
            <w:pPr>
              <w:snapToGrid w:val="0"/>
              <w:jc w:val="center"/>
            </w:pPr>
            <w:r>
              <w:rPr>
                <w:rFonts w:ascii="宋体" w:hAnsi="宋体" w:eastAsia="宋体"/>
                <w:sz w:val="16"/>
              </w:rPr>
              <w:t>5</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45191FBB">
            <w:pPr>
              <w:snapToGrid w:val="0"/>
              <w:jc w:val="center"/>
            </w:pPr>
          </w:p>
        </w:tc>
      </w:tr>
      <w:tr w14:paraId="168CC401">
        <w:tblPrEx>
          <w:tblCellMar>
            <w:top w:w="32" w:type="dxa"/>
            <w:left w:w="64" w:type="dxa"/>
            <w:bottom w:w="32" w:type="dxa"/>
            <w:right w:w="64" w:type="dxa"/>
          </w:tblCellMar>
        </w:tblPrEx>
        <w:trPr>
          <w:trHeight w:val="0" w:hRule="atLeast"/>
          <w:jc w:val="center"/>
        </w:trPr>
        <w:tc>
          <w:tcPr>
            <w:tcW w:w="307" w:type="pct"/>
            <w:vMerge w:val="continue"/>
            <w:tcBorders>
              <w:top w:val="single" w:color="auto" w:sz="10" w:space="0"/>
              <w:left w:val="single" w:color="auto" w:sz="10" w:space="0"/>
              <w:bottom w:val="single" w:color="auto" w:sz="10" w:space="0"/>
              <w:right w:val="single" w:color="auto" w:sz="10" w:space="0"/>
              <w:insideV w:val="single" w:sz="10" w:space="0"/>
            </w:tcBorders>
          </w:tcPr>
          <w:p w14:paraId="361AD706">
            <w:pPr>
              <w:snapToGrid w:val="0"/>
            </w:pPr>
          </w:p>
        </w:tc>
        <w:tc>
          <w:tcPr>
            <w:tcW w:w="517"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A8797C">
            <w:pPr>
              <w:snapToGrid w:val="0"/>
              <w:jc w:val="center"/>
            </w:pPr>
            <w:r>
              <w:rPr>
                <w:rFonts w:ascii="宋体" w:hAnsi="宋体" w:eastAsia="宋体"/>
                <w:sz w:val="16"/>
              </w:rPr>
              <w:t>成本指标</w:t>
            </w:r>
          </w:p>
        </w:tc>
        <w:tc>
          <w:tcPr>
            <w:tcW w:w="582"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2C3B28">
            <w:pPr>
              <w:snapToGrid w:val="0"/>
              <w:jc w:val="center"/>
            </w:pPr>
            <w:r>
              <w:rPr>
                <w:rFonts w:ascii="宋体" w:hAnsi="宋体" w:eastAsia="宋体"/>
                <w:sz w:val="16"/>
              </w:rPr>
              <w:t>经济成本指标</w:t>
            </w: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6E039F25">
            <w:pPr>
              <w:snapToGrid w:val="0"/>
              <w:jc w:val="center"/>
            </w:pPr>
            <w:r>
              <w:rPr>
                <w:rFonts w:ascii="宋体" w:hAnsi="宋体" w:eastAsia="宋体"/>
                <w:sz w:val="16"/>
              </w:rPr>
              <w:t>防护栏采购安装费用</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654A751F">
            <w:pPr>
              <w:snapToGrid w:val="0"/>
              <w:jc w:val="center"/>
            </w:pPr>
            <w:r>
              <w:rPr>
                <w:rFonts w:ascii="宋体" w:hAnsi="宋体" w:eastAsia="宋体"/>
                <w:sz w:val="16"/>
              </w:rPr>
              <w:t>&lt;=24万元</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63B659BE">
            <w:pPr>
              <w:snapToGrid w:val="0"/>
              <w:jc w:val="center"/>
            </w:pPr>
            <w:r>
              <w:rPr>
                <w:rFonts w:ascii="宋体" w:hAnsi="宋体" w:eastAsia="宋体"/>
                <w:sz w:val="16"/>
              </w:rPr>
              <w:t>=13.2万元</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08EB3A57">
            <w:pPr>
              <w:snapToGrid w:val="0"/>
              <w:jc w:val="center"/>
            </w:pPr>
            <w:r>
              <w:rPr>
                <w:rFonts w:ascii="宋体" w:hAnsi="宋体" w:eastAsia="宋体"/>
                <w:sz w:val="16"/>
              </w:rPr>
              <w:t>10</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4FED2868">
            <w:pPr>
              <w:snapToGrid w:val="0"/>
              <w:jc w:val="center"/>
            </w:pPr>
            <w:r>
              <w:rPr>
                <w:rFonts w:ascii="宋体" w:hAnsi="宋体" w:eastAsia="宋体"/>
                <w:sz w:val="16"/>
              </w:rPr>
              <w:t>0</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67861C01">
            <w:pPr>
              <w:snapToGrid w:val="0"/>
              <w:jc w:val="center"/>
            </w:pPr>
            <w:r>
              <w:rPr>
                <w:rFonts w:ascii="宋体" w:hAnsi="宋体" w:eastAsia="宋体"/>
                <w:sz w:val="16"/>
              </w:rPr>
              <w:t>偏差原因：项目为节约成本，提高资金使用效率，以低成本完成项目建设，导致出现偏差。</w:t>
            </w:r>
          </w:p>
        </w:tc>
      </w:tr>
      <w:tr w14:paraId="516EAC18">
        <w:tblPrEx>
          <w:tblCellMar>
            <w:top w:w="32" w:type="dxa"/>
            <w:left w:w="64" w:type="dxa"/>
            <w:bottom w:w="32" w:type="dxa"/>
            <w:right w:w="64" w:type="dxa"/>
          </w:tblCellMar>
        </w:tblPrEx>
        <w:trPr>
          <w:trHeight w:val="0" w:hRule="atLeast"/>
          <w:jc w:val="center"/>
        </w:trPr>
        <w:tc>
          <w:tcPr>
            <w:tcW w:w="307" w:type="pct"/>
            <w:vMerge w:val="continue"/>
            <w:tcBorders>
              <w:top w:val="single" w:color="auto" w:sz="10" w:space="0"/>
              <w:left w:val="single" w:color="auto" w:sz="10" w:space="0"/>
              <w:bottom w:val="single" w:color="auto" w:sz="10" w:space="0"/>
              <w:right w:val="single" w:color="auto" w:sz="10" w:space="0"/>
              <w:insideV w:val="single" w:sz="10" w:space="0"/>
            </w:tcBorders>
          </w:tcPr>
          <w:p w14:paraId="4E9BB04A">
            <w:pPr>
              <w:snapToGrid w:val="0"/>
            </w:pPr>
          </w:p>
        </w:tc>
        <w:tc>
          <w:tcPr>
            <w:tcW w:w="517" w:type="pct"/>
            <w:vMerge w:val="continue"/>
            <w:tcBorders>
              <w:top w:val="single" w:color="auto" w:sz="10" w:space="0"/>
              <w:left w:val="single" w:color="auto" w:sz="10" w:space="0"/>
              <w:bottom w:val="single" w:color="auto" w:sz="10" w:space="0"/>
              <w:right w:val="single" w:color="auto" w:sz="10" w:space="0"/>
              <w:insideV w:val="single" w:sz="10" w:space="0"/>
            </w:tcBorders>
          </w:tcPr>
          <w:p w14:paraId="69446D26">
            <w:pPr>
              <w:snapToGrid w:val="0"/>
            </w:pPr>
          </w:p>
        </w:tc>
        <w:tc>
          <w:tcPr>
            <w:tcW w:w="582" w:type="pct"/>
            <w:vMerge w:val="continue"/>
            <w:tcBorders>
              <w:top w:val="single" w:color="auto" w:sz="10" w:space="0"/>
              <w:left w:val="single" w:color="auto" w:sz="10" w:space="0"/>
              <w:bottom w:val="single" w:color="auto" w:sz="10" w:space="0"/>
              <w:right w:val="single" w:color="auto" w:sz="10" w:space="0"/>
              <w:insideV w:val="single" w:sz="10" w:space="0"/>
            </w:tcBorders>
          </w:tcPr>
          <w:p w14:paraId="30177656">
            <w:pPr>
              <w:snapToGrid w:val="0"/>
            </w:pP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6E655F86">
            <w:pPr>
              <w:snapToGrid w:val="0"/>
              <w:jc w:val="center"/>
            </w:pPr>
            <w:r>
              <w:rPr>
                <w:rFonts w:ascii="宋体" w:hAnsi="宋体" w:eastAsia="宋体"/>
                <w:sz w:val="16"/>
              </w:rPr>
              <w:t>路灯采购安装费用</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04A12A80">
            <w:pPr>
              <w:snapToGrid w:val="0"/>
              <w:jc w:val="center"/>
            </w:pPr>
            <w:r>
              <w:rPr>
                <w:rFonts w:ascii="宋体" w:hAnsi="宋体" w:eastAsia="宋体"/>
                <w:sz w:val="16"/>
              </w:rPr>
              <w:t>&lt;=12万元</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45458AE4">
            <w:pPr>
              <w:snapToGrid w:val="0"/>
              <w:jc w:val="center"/>
            </w:pPr>
            <w:r>
              <w:rPr>
                <w:rFonts w:ascii="宋体" w:hAnsi="宋体" w:eastAsia="宋体"/>
                <w:sz w:val="16"/>
              </w:rPr>
              <w:t>=11.4万元</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4C73DFBE">
            <w:pPr>
              <w:snapToGrid w:val="0"/>
              <w:jc w:val="center"/>
            </w:pPr>
            <w:r>
              <w:rPr>
                <w:rFonts w:ascii="宋体" w:hAnsi="宋体" w:eastAsia="宋体"/>
                <w:sz w:val="16"/>
              </w:rPr>
              <w:t>6</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4997160D">
            <w:pPr>
              <w:snapToGrid w:val="0"/>
              <w:jc w:val="center"/>
            </w:pPr>
            <w:r>
              <w:rPr>
                <w:rFonts w:ascii="宋体" w:hAnsi="宋体" w:eastAsia="宋体"/>
                <w:sz w:val="16"/>
              </w:rPr>
              <w:t>5.25</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574F0F43">
            <w:pPr>
              <w:snapToGrid w:val="0"/>
              <w:jc w:val="center"/>
            </w:pPr>
            <w:r>
              <w:rPr>
                <w:rFonts w:ascii="宋体" w:hAnsi="宋体" w:eastAsia="宋体"/>
                <w:sz w:val="16"/>
              </w:rPr>
              <w:t>偏差原因：项目为节约成本，提高资金使用效率，以低成本完成项目建设，导致出现偏差。</w:t>
            </w:r>
          </w:p>
        </w:tc>
      </w:tr>
      <w:tr w14:paraId="37097764">
        <w:tblPrEx>
          <w:tblCellMar>
            <w:top w:w="32" w:type="dxa"/>
            <w:left w:w="64" w:type="dxa"/>
            <w:bottom w:w="32" w:type="dxa"/>
            <w:right w:w="64" w:type="dxa"/>
          </w:tblCellMar>
        </w:tblPrEx>
        <w:trPr>
          <w:trHeight w:val="0" w:hRule="atLeast"/>
          <w:jc w:val="center"/>
        </w:trPr>
        <w:tc>
          <w:tcPr>
            <w:tcW w:w="307" w:type="pct"/>
            <w:vMerge w:val="continue"/>
            <w:tcBorders>
              <w:top w:val="single" w:color="auto" w:sz="10" w:space="0"/>
              <w:left w:val="single" w:color="auto" w:sz="10" w:space="0"/>
              <w:bottom w:val="single" w:color="auto" w:sz="10" w:space="0"/>
              <w:right w:val="single" w:color="auto" w:sz="10" w:space="0"/>
              <w:insideV w:val="single" w:sz="10" w:space="0"/>
            </w:tcBorders>
          </w:tcPr>
          <w:p w14:paraId="5A0D545D">
            <w:pPr>
              <w:snapToGrid w:val="0"/>
            </w:pPr>
          </w:p>
        </w:tc>
        <w:tc>
          <w:tcPr>
            <w:tcW w:w="517" w:type="pct"/>
            <w:vMerge w:val="continue"/>
            <w:tcBorders>
              <w:top w:val="single" w:color="auto" w:sz="10" w:space="0"/>
              <w:left w:val="single" w:color="auto" w:sz="10" w:space="0"/>
              <w:bottom w:val="single" w:color="auto" w:sz="10" w:space="0"/>
              <w:right w:val="single" w:color="auto" w:sz="10" w:space="0"/>
              <w:insideV w:val="single" w:sz="10" w:space="0"/>
            </w:tcBorders>
          </w:tcPr>
          <w:p w14:paraId="74EFCE8F">
            <w:pPr>
              <w:snapToGrid w:val="0"/>
            </w:pPr>
          </w:p>
        </w:tc>
        <w:tc>
          <w:tcPr>
            <w:tcW w:w="582" w:type="pct"/>
            <w:vMerge w:val="continue"/>
            <w:tcBorders>
              <w:top w:val="single" w:color="auto" w:sz="10" w:space="0"/>
              <w:left w:val="single" w:color="auto" w:sz="10" w:space="0"/>
              <w:bottom w:val="single" w:color="auto" w:sz="10" w:space="0"/>
              <w:right w:val="single" w:color="auto" w:sz="10" w:space="0"/>
              <w:insideV w:val="single" w:sz="10" w:space="0"/>
            </w:tcBorders>
          </w:tcPr>
          <w:p w14:paraId="2AEEEF0A">
            <w:pPr>
              <w:snapToGrid w:val="0"/>
            </w:pP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0C9C3C87">
            <w:pPr>
              <w:snapToGrid w:val="0"/>
              <w:jc w:val="center"/>
            </w:pPr>
            <w:r>
              <w:rPr>
                <w:rFonts w:ascii="宋体" w:hAnsi="宋体" w:eastAsia="宋体"/>
                <w:sz w:val="16"/>
              </w:rPr>
              <w:t>地面硬化绿化费用</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11ACCDC3">
            <w:pPr>
              <w:snapToGrid w:val="0"/>
              <w:jc w:val="center"/>
            </w:pPr>
            <w:r>
              <w:rPr>
                <w:rFonts w:ascii="宋体" w:hAnsi="宋体" w:eastAsia="宋体"/>
                <w:sz w:val="16"/>
              </w:rPr>
              <w:t>&lt;=14万元</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038A2411">
            <w:pPr>
              <w:snapToGrid w:val="0"/>
              <w:jc w:val="center"/>
            </w:pPr>
            <w:r>
              <w:rPr>
                <w:rFonts w:ascii="宋体" w:hAnsi="宋体" w:eastAsia="宋体"/>
                <w:sz w:val="16"/>
              </w:rPr>
              <w:t>=13.25万元</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7A76A20E">
            <w:pPr>
              <w:snapToGrid w:val="0"/>
              <w:jc w:val="center"/>
            </w:pPr>
            <w:r>
              <w:rPr>
                <w:rFonts w:ascii="宋体" w:hAnsi="宋体" w:eastAsia="宋体"/>
                <w:sz w:val="16"/>
              </w:rPr>
              <w:t>4</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3AAC5EF6">
            <w:pPr>
              <w:snapToGrid w:val="0"/>
              <w:jc w:val="center"/>
            </w:pPr>
            <w:r>
              <w:rPr>
                <w:rFonts w:ascii="宋体" w:hAnsi="宋体" w:eastAsia="宋体"/>
                <w:sz w:val="16"/>
              </w:rPr>
              <w:t>3.46</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3AC6040E">
            <w:pPr>
              <w:snapToGrid w:val="0"/>
              <w:jc w:val="center"/>
            </w:pPr>
            <w:r>
              <w:rPr>
                <w:rFonts w:ascii="宋体" w:hAnsi="宋体" w:eastAsia="宋体"/>
                <w:sz w:val="16"/>
              </w:rPr>
              <w:t>偏差原因：项目为节约成本，提高资金使用效率，以低成本完成项目建设，导致出现偏差。</w:t>
            </w:r>
          </w:p>
        </w:tc>
      </w:tr>
      <w:tr w14:paraId="1A51441D">
        <w:tblPrEx>
          <w:tblCellMar>
            <w:top w:w="32" w:type="dxa"/>
            <w:left w:w="64" w:type="dxa"/>
            <w:bottom w:w="32" w:type="dxa"/>
            <w:right w:w="64" w:type="dxa"/>
          </w:tblCellMar>
        </w:tblPrEx>
        <w:trPr>
          <w:trHeight w:val="0" w:hRule="atLeast"/>
          <w:jc w:val="center"/>
        </w:trPr>
        <w:tc>
          <w:tcPr>
            <w:tcW w:w="307" w:type="pct"/>
            <w:vMerge w:val="continue"/>
            <w:tcBorders>
              <w:top w:val="single" w:color="auto" w:sz="10" w:space="0"/>
              <w:left w:val="single" w:color="auto" w:sz="10" w:space="0"/>
              <w:bottom w:val="single" w:color="auto" w:sz="10" w:space="0"/>
              <w:right w:val="single" w:color="auto" w:sz="10" w:space="0"/>
              <w:insideV w:val="single" w:sz="10" w:space="0"/>
            </w:tcBorders>
          </w:tcPr>
          <w:p w14:paraId="0D6646E7">
            <w:pPr>
              <w:snapToGrid w:val="0"/>
            </w:pPr>
          </w:p>
        </w:tc>
        <w:tc>
          <w:tcPr>
            <w:tcW w:w="517" w:type="pct"/>
            <w:tcBorders>
              <w:top w:val="single" w:color="auto" w:sz="10" w:space="0"/>
              <w:left w:val="single" w:color="auto" w:sz="10" w:space="0"/>
              <w:bottom w:val="single" w:color="auto" w:sz="10" w:space="0"/>
              <w:right w:val="single" w:color="auto" w:sz="10" w:space="0"/>
              <w:insideV w:val="single" w:sz="10" w:space="0"/>
            </w:tcBorders>
            <w:vAlign w:val="center"/>
          </w:tcPr>
          <w:p w14:paraId="6CADE9B2">
            <w:pPr>
              <w:snapToGrid w:val="0"/>
              <w:jc w:val="center"/>
            </w:pPr>
            <w:r>
              <w:rPr>
                <w:rFonts w:ascii="宋体" w:hAnsi="宋体" w:eastAsia="宋体"/>
                <w:sz w:val="16"/>
              </w:rPr>
              <w:t>效益指标</w:t>
            </w:r>
          </w:p>
        </w:tc>
        <w:tc>
          <w:tcPr>
            <w:tcW w:w="582" w:type="pct"/>
            <w:tcBorders>
              <w:top w:val="single" w:color="auto" w:sz="10" w:space="0"/>
              <w:left w:val="single" w:color="auto" w:sz="10" w:space="0"/>
              <w:bottom w:val="single" w:color="auto" w:sz="10" w:space="0"/>
              <w:right w:val="single" w:color="auto" w:sz="10" w:space="0"/>
              <w:insideV w:val="single" w:sz="10" w:space="0"/>
            </w:tcBorders>
            <w:vAlign w:val="center"/>
          </w:tcPr>
          <w:p w14:paraId="29860BE7">
            <w:pPr>
              <w:snapToGrid w:val="0"/>
              <w:jc w:val="center"/>
            </w:pPr>
            <w:r>
              <w:rPr>
                <w:rFonts w:ascii="宋体" w:hAnsi="宋体" w:eastAsia="宋体"/>
                <w:sz w:val="16"/>
              </w:rPr>
              <w:t>社会效益指标</w:t>
            </w: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3DFD73D9">
            <w:pPr>
              <w:snapToGrid w:val="0"/>
              <w:jc w:val="center"/>
            </w:pPr>
            <w:r>
              <w:rPr>
                <w:rFonts w:ascii="宋体" w:hAnsi="宋体" w:eastAsia="宋体"/>
                <w:sz w:val="16"/>
              </w:rPr>
              <w:t>提升村庄的整体形象</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33ADE34D">
            <w:pPr>
              <w:snapToGrid w:val="0"/>
              <w:jc w:val="center"/>
            </w:pPr>
            <w:r>
              <w:rPr>
                <w:rFonts w:ascii="宋体" w:hAnsi="宋体" w:eastAsia="宋体"/>
                <w:sz w:val="16"/>
              </w:rPr>
              <w:t>有效提升</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704F3AFA">
            <w:pPr>
              <w:snapToGrid w:val="0"/>
              <w:jc w:val="center"/>
            </w:pPr>
            <w:r>
              <w:rPr>
                <w:rFonts w:ascii="宋体" w:hAnsi="宋体" w:eastAsia="宋体"/>
                <w:sz w:val="16"/>
              </w:rPr>
              <w:t>有效提升</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2ACB7A14">
            <w:pPr>
              <w:snapToGrid w:val="0"/>
              <w:jc w:val="center"/>
            </w:pPr>
            <w:r>
              <w:rPr>
                <w:rFonts w:ascii="宋体" w:hAnsi="宋体" w:eastAsia="宋体"/>
                <w:sz w:val="16"/>
              </w:rPr>
              <w:t>20</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6165F699">
            <w:pPr>
              <w:snapToGrid w:val="0"/>
              <w:jc w:val="center"/>
            </w:pPr>
            <w:r>
              <w:rPr>
                <w:rFonts w:ascii="宋体" w:hAnsi="宋体" w:eastAsia="宋体"/>
                <w:sz w:val="16"/>
              </w:rPr>
              <w:t>20</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5A5725F9">
            <w:pPr>
              <w:snapToGrid w:val="0"/>
              <w:jc w:val="center"/>
            </w:pPr>
          </w:p>
        </w:tc>
      </w:tr>
      <w:tr w14:paraId="2EFE97F6">
        <w:tblPrEx>
          <w:tblCellMar>
            <w:top w:w="32" w:type="dxa"/>
            <w:left w:w="64" w:type="dxa"/>
            <w:bottom w:w="32" w:type="dxa"/>
            <w:right w:w="64" w:type="dxa"/>
          </w:tblCellMar>
        </w:tblPrEx>
        <w:trPr>
          <w:trHeight w:val="0" w:hRule="atLeast"/>
          <w:jc w:val="center"/>
        </w:trPr>
        <w:tc>
          <w:tcPr>
            <w:tcW w:w="307" w:type="pct"/>
            <w:vMerge w:val="continue"/>
            <w:tcBorders>
              <w:top w:val="single" w:color="auto" w:sz="10" w:space="0"/>
              <w:left w:val="single" w:color="auto" w:sz="10" w:space="0"/>
              <w:bottom w:val="single" w:color="auto" w:sz="10" w:space="0"/>
              <w:right w:val="single" w:color="auto" w:sz="10" w:space="0"/>
              <w:insideV w:val="single" w:sz="10" w:space="0"/>
            </w:tcBorders>
          </w:tcPr>
          <w:p w14:paraId="1CC99FA4">
            <w:pPr>
              <w:snapToGrid w:val="0"/>
            </w:pPr>
          </w:p>
        </w:tc>
        <w:tc>
          <w:tcPr>
            <w:tcW w:w="517" w:type="pct"/>
            <w:tcBorders>
              <w:top w:val="single" w:color="auto" w:sz="10" w:space="0"/>
              <w:left w:val="single" w:color="auto" w:sz="10" w:space="0"/>
              <w:bottom w:val="single" w:color="auto" w:sz="10" w:space="0"/>
              <w:right w:val="single" w:color="auto" w:sz="10" w:space="0"/>
              <w:insideV w:val="single" w:sz="10" w:space="0"/>
            </w:tcBorders>
            <w:vAlign w:val="center"/>
          </w:tcPr>
          <w:p w14:paraId="6621A88F">
            <w:pPr>
              <w:snapToGrid w:val="0"/>
              <w:jc w:val="center"/>
            </w:pPr>
            <w:r>
              <w:rPr>
                <w:rFonts w:ascii="宋体" w:hAnsi="宋体" w:eastAsia="宋体"/>
                <w:sz w:val="16"/>
              </w:rPr>
              <w:t>满意度指标</w:t>
            </w:r>
          </w:p>
        </w:tc>
        <w:tc>
          <w:tcPr>
            <w:tcW w:w="582" w:type="pct"/>
            <w:tcBorders>
              <w:top w:val="single" w:color="auto" w:sz="10" w:space="0"/>
              <w:left w:val="single" w:color="auto" w:sz="10" w:space="0"/>
              <w:bottom w:val="single" w:color="auto" w:sz="10" w:space="0"/>
              <w:right w:val="single" w:color="auto" w:sz="10" w:space="0"/>
              <w:insideV w:val="single" w:sz="10" w:space="0"/>
            </w:tcBorders>
            <w:vAlign w:val="center"/>
          </w:tcPr>
          <w:p w14:paraId="26E81807">
            <w:pPr>
              <w:snapToGrid w:val="0"/>
              <w:jc w:val="center"/>
            </w:pPr>
            <w:r>
              <w:rPr>
                <w:rFonts w:ascii="宋体" w:hAnsi="宋体" w:eastAsia="宋体"/>
                <w:sz w:val="16"/>
              </w:rPr>
              <w:t>满意度指标</w:t>
            </w:r>
          </w:p>
        </w:tc>
        <w:tc>
          <w:tcPr>
            <w:tcW w:w="897" w:type="pct"/>
            <w:tcBorders>
              <w:top w:val="single" w:color="auto" w:sz="10" w:space="0"/>
              <w:left w:val="single" w:color="auto" w:sz="10" w:space="0"/>
              <w:bottom w:val="single" w:color="auto" w:sz="10" w:space="0"/>
              <w:right w:val="single" w:color="auto" w:sz="10" w:space="0"/>
              <w:insideV w:val="single" w:sz="10" w:space="0"/>
            </w:tcBorders>
            <w:vAlign w:val="center"/>
          </w:tcPr>
          <w:p w14:paraId="652AE3E9">
            <w:pPr>
              <w:snapToGrid w:val="0"/>
              <w:jc w:val="center"/>
            </w:pPr>
            <w:r>
              <w:rPr>
                <w:rFonts w:ascii="宋体" w:hAnsi="宋体" w:eastAsia="宋体"/>
                <w:sz w:val="16"/>
              </w:rPr>
              <w:t>村民满意度</w:t>
            </w:r>
          </w:p>
        </w:tc>
        <w:tc>
          <w:tcPr>
            <w:tcW w:w="506" w:type="pct"/>
            <w:tcBorders>
              <w:top w:val="single" w:color="auto" w:sz="10" w:space="0"/>
              <w:left w:val="single" w:color="auto" w:sz="10" w:space="0"/>
              <w:bottom w:val="single" w:color="auto" w:sz="10" w:space="0"/>
              <w:right w:val="single" w:color="auto" w:sz="10" w:space="0"/>
              <w:insideV w:val="single" w:sz="10" w:space="0"/>
            </w:tcBorders>
            <w:vAlign w:val="center"/>
          </w:tcPr>
          <w:p w14:paraId="795C9CA6">
            <w:pPr>
              <w:snapToGrid w:val="0"/>
              <w:jc w:val="center"/>
            </w:pPr>
            <w:r>
              <w:rPr>
                <w:rFonts w:ascii="宋体" w:hAnsi="宋体" w:eastAsia="宋体"/>
                <w:sz w:val="16"/>
              </w:rPr>
              <w:t>&gt;=95%</w:t>
            </w:r>
          </w:p>
        </w:tc>
        <w:tc>
          <w:tcPr>
            <w:tcW w:w="534" w:type="pct"/>
            <w:tcBorders>
              <w:top w:val="single" w:color="auto" w:sz="10" w:space="0"/>
              <w:left w:val="single" w:color="auto" w:sz="10" w:space="0"/>
              <w:bottom w:val="single" w:color="auto" w:sz="10" w:space="0"/>
              <w:right w:val="single" w:color="auto" w:sz="10" w:space="0"/>
              <w:insideV w:val="single" w:sz="10" w:space="0"/>
            </w:tcBorders>
            <w:vAlign w:val="center"/>
          </w:tcPr>
          <w:p w14:paraId="76AE15FD">
            <w:pPr>
              <w:snapToGrid w:val="0"/>
              <w:jc w:val="center"/>
            </w:pPr>
            <w:r>
              <w:rPr>
                <w:rFonts w:ascii="宋体" w:hAnsi="宋体" w:eastAsia="宋体"/>
                <w:sz w:val="16"/>
              </w:rPr>
              <w:t>=100%</w:t>
            </w: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53EB09C8">
            <w:pPr>
              <w:snapToGrid w:val="0"/>
              <w:jc w:val="center"/>
            </w:pPr>
            <w:r>
              <w:rPr>
                <w:rFonts w:ascii="宋体" w:hAnsi="宋体" w:eastAsia="宋体"/>
                <w:sz w:val="16"/>
              </w:rPr>
              <w:t>10</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470C19DD">
            <w:pPr>
              <w:snapToGrid w:val="0"/>
              <w:jc w:val="center"/>
            </w:pPr>
            <w:r>
              <w:rPr>
                <w:rFonts w:ascii="宋体" w:hAnsi="宋体" w:eastAsia="宋体"/>
                <w:sz w:val="16"/>
              </w:rPr>
              <w:t>10</w:t>
            </w:r>
          </w:p>
        </w:tc>
        <w:tc>
          <w:tcPr>
            <w:tcW w:w="1013" w:type="pct"/>
            <w:tcBorders>
              <w:top w:val="single" w:color="auto" w:sz="10" w:space="0"/>
              <w:left w:val="single" w:color="auto" w:sz="10" w:space="0"/>
              <w:bottom w:val="single" w:color="auto" w:sz="10" w:space="0"/>
              <w:right w:val="single" w:color="auto" w:sz="10" w:space="0"/>
              <w:insideV w:val="single" w:sz="10" w:space="0"/>
            </w:tcBorders>
            <w:vAlign w:val="center"/>
          </w:tcPr>
          <w:p w14:paraId="45EE8FD8">
            <w:pPr>
              <w:snapToGrid w:val="0"/>
              <w:jc w:val="center"/>
            </w:pPr>
            <w:r>
              <w:rPr>
                <w:rFonts w:ascii="宋体" w:hAnsi="宋体" w:eastAsia="宋体"/>
                <w:sz w:val="16"/>
              </w:rPr>
              <w:t>偏差原因：项目为节约成本，提高资金使用效率，以低成本完成项目建设，导致出现偏差。</w:t>
            </w:r>
          </w:p>
        </w:tc>
      </w:tr>
      <w:tr w14:paraId="5866C0C8">
        <w:tblPrEx>
          <w:tblCellMar>
            <w:top w:w="32" w:type="dxa"/>
            <w:left w:w="64" w:type="dxa"/>
            <w:bottom w:w="32" w:type="dxa"/>
            <w:right w:w="64" w:type="dxa"/>
          </w:tblCellMar>
        </w:tblPrEx>
        <w:trPr>
          <w:trHeight w:val="0" w:hRule="atLeast"/>
          <w:jc w:val="center"/>
        </w:trPr>
        <w:tc>
          <w:tcPr>
            <w:tcW w:w="2811" w:type="pct"/>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F6E737E">
            <w:pPr>
              <w:snapToGrid w:val="0"/>
              <w:jc w:val="center"/>
            </w:pPr>
            <w:r>
              <w:rPr>
                <w:rFonts w:ascii="宋体" w:hAnsi="宋体" w:eastAsia="宋体"/>
                <w:sz w:val="16"/>
              </w:rPr>
              <w:t>总分</w:t>
            </w:r>
          </w:p>
        </w:tc>
        <w:tc>
          <w:tcPr>
            <w:tcW w:w="534" w:type="pct"/>
            <w:tcBorders>
              <w:top w:val="single" w:color="auto" w:sz="10" w:space="0"/>
              <w:left w:val="single" w:color="auto" w:sz="10" w:space="0"/>
              <w:bottom w:val="single" w:color="auto" w:sz="10" w:space="0"/>
              <w:right w:val="single" w:color="auto" w:sz="10" w:space="0"/>
              <w:insideV w:val="single" w:sz="10" w:space="0"/>
            </w:tcBorders>
          </w:tcPr>
          <w:p w14:paraId="221D14B8">
            <w:pPr>
              <w:snapToGrid w:val="0"/>
            </w:pPr>
          </w:p>
        </w:tc>
        <w:tc>
          <w:tcPr>
            <w:tcW w:w="241" w:type="pct"/>
            <w:tcBorders>
              <w:top w:val="single" w:color="auto" w:sz="10" w:space="0"/>
              <w:left w:val="single" w:color="auto" w:sz="10" w:space="0"/>
              <w:bottom w:val="single" w:color="auto" w:sz="10" w:space="0"/>
              <w:right w:val="single" w:color="auto" w:sz="10" w:space="0"/>
              <w:insideV w:val="single" w:sz="10" w:space="0"/>
            </w:tcBorders>
            <w:vAlign w:val="center"/>
          </w:tcPr>
          <w:p w14:paraId="656EFEF4">
            <w:pPr>
              <w:snapToGrid w:val="0"/>
              <w:jc w:val="center"/>
            </w:pPr>
            <w:r>
              <w:rPr>
                <w:rFonts w:ascii="宋体" w:hAnsi="宋体" w:eastAsia="宋体"/>
                <w:sz w:val="16"/>
              </w:rPr>
              <w:t>100</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63472C35">
            <w:pPr>
              <w:snapToGrid w:val="0"/>
              <w:jc w:val="center"/>
            </w:pPr>
            <w:r>
              <w:rPr>
                <w:rFonts w:ascii="宋体" w:hAnsi="宋体" w:eastAsia="宋体"/>
                <w:sz w:val="16"/>
              </w:rPr>
              <w:t>82.64分</w:t>
            </w:r>
          </w:p>
        </w:tc>
        <w:tc>
          <w:tcPr>
            <w:tcW w:w="1013" w:type="pct"/>
            <w:tcBorders>
              <w:top w:val="single" w:color="auto" w:sz="10" w:space="0"/>
              <w:left w:val="single" w:color="auto" w:sz="10" w:space="0"/>
              <w:bottom w:val="single" w:color="auto" w:sz="10" w:space="0"/>
              <w:right w:val="single" w:color="auto" w:sz="10" w:space="0"/>
              <w:insideV w:val="single" w:sz="10" w:space="0"/>
            </w:tcBorders>
          </w:tcPr>
          <w:p w14:paraId="271D55B7">
            <w:pPr>
              <w:snapToGrid w:val="0"/>
            </w:pPr>
          </w:p>
        </w:tc>
      </w:tr>
    </w:tbl>
    <w:p w14:paraId="2603D0D3">
      <w:r>
        <w:br w:type="page"/>
      </w:r>
    </w:p>
    <w:p w14:paraId="12754CCD">
      <w:pPr>
        <w:spacing w:line="640" w:lineRule="exact"/>
        <w:ind w:firstLine="640"/>
        <w:jc w:val="both"/>
        <w:outlineLvl w:val="2"/>
      </w:pPr>
      <w:r>
        <w:rPr>
          <w:rFonts w:ascii="黑体" w:hAnsi="黑体" w:eastAsia="黑体"/>
          <w:sz w:val="32"/>
        </w:rPr>
        <w:t>十二、其他需说明的事项</w:t>
      </w:r>
    </w:p>
    <w:p w14:paraId="4E2BA86F">
      <w:pPr>
        <w:spacing w:line="580" w:lineRule="exact"/>
        <w:ind w:firstLine="640"/>
        <w:jc w:val="both"/>
      </w:pPr>
      <w:r>
        <w:rPr>
          <w:rFonts w:ascii="仿宋_GB2312" w:hAnsi="仿宋_GB2312" w:eastAsia="仿宋_GB2312"/>
          <w:b w:val="0"/>
          <w:sz w:val="32"/>
        </w:rPr>
        <w:t>本单位无其他需说明的事项。</w:t>
      </w:r>
    </w:p>
    <w:p w14:paraId="6F9BE44B">
      <w:r>
        <w:br w:type="page"/>
      </w:r>
    </w:p>
    <w:p w14:paraId="63D49FD1">
      <w:pPr>
        <w:spacing w:line="240" w:lineRule="auto"/>
        <w:jc w:val="center"/>
        <w:outlineLvl w:val="1"/>
      </w:pPr>
      <w:r>
        <w:rPr>
          <w:rFonts w:ascii="黑体" w:hAnsi="黑体" w:eastAsia="黑体"/>
          <w:sz w:val="32"/>
        </w:rPr>
        <w:t>第三部分 专业名词解释</w:t>
      </w:r>
    </w:p>
    <w:p w14:paraId="0C099D69">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50ACC0DD">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7A61E5F4">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5A9C5942">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686FA973">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1B90C8BB">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3CD1CEA0">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337BBF92">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58529212">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515119E8">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13BD2F14">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1797F780">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34C1009C">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3494A092">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6DA233B4">
      <w:r>
        <w:br w:type="page"/>
      </w:r>
    </w:p>
    <w:p w14:paraId="0412EE23">
      <w:pPr>
        <w:spacing w:line="240" w:lineRule="auto"/>
        <w:jc w:val="center"/>
        <w:outlineLvl w:val="1"/>
      </w:pPr>
      <w:r>
        <w:rPr>
          <w:rFonts w:ascii="黑体" w:hAnsi="黑体" w:eastAsia="黑体"/>
          <w:sz w:val="32"/>
        </w:rPr>
        <w:t>第四部分 部门决算报表（见附表）</w:t>
      </w:r>
    </w:p>
    <w:p w14:paraId="4ADEA0A1">
      <w:pPr>
        <w:spacing w:line="240" w:lineRule="auto"/>
        <w:ind w:firstLine="640"/>
        <w:jc w:val="both"/>
      </w:pPr>
      <w:r>
        <w:rPr>
          <w:rFonts w:ascii="仿宋_GB2312" w:hAnsi="仿宋_GB2312" w:eastAsia="仿宋_GB2312"/>
          <w:b w:val="0"/>
          <w:sz w:val="32"/>
        </w:rPr>
        <w:t>一、《收入支出决算总表》</w:t>
      </w:r>
    </w:p>
    <w:p w14:paraId="0C02BC0D">
      <w:pPr>
        <w:spacing w:line="240" w:lineRule="auto"/>
        <w:ind w:firstLine="640"/>
        <w:jc w:val="both"/>
      </w:pPr>
      <w:r>
        <w:rPr>
          <w:rFonts w:ascii="仿宋_GB2312" w:hAnsi="仿宋_GB2312" w:eastAsia="仿宋_GB2312"/>
          <w:b w:val="0"/>
          <w:sz w:val="32"/>
        </w:rPr>
        <w:t>二、《收入决算表》</w:t>
      </w:r>
    </w:p>
    <w:p w14:paraId="5F0B15AC">
      <w:pPr>
        <w:spacing w:line="240" w:lineRule="auto"/>
        <w:ind w:firstLine="640"/>
        <w:jc w:val="both"/>
      </w:pPr>
      <w:r>
        <w:rPr>
          <w:rFonts w:ascii="仿宋_GB2312" w:hAnsi="仿宋_GB2312" w:eastAsia="仿宋_GB2312"/>
          <w:b w:val="0"/>
          <w:sz w:val="32"/>
        </w:rPr>
        <w:t>三、《支出决算表》</w:t>
      </w:r>
    </w:p>
    <w:p w14:paraId="6A2A5C6E">
      <w:pPr>
        <w:spacing w:line="240" w:lineRule="auto"/>
        <w:ind w:firstLine="640"/>
        <w:jc w:val="both"/>
      </w:pPr>
      <w:r>
        <w:rPr>
          <w:rFonts w:ascii="仿宋_GB2312" w:hAnsi="仿宋_GB2312" w:eastAsia="仿宋_GB2312"/>
          <w:b w:val="0"/>
          <w:sz w:val="32"/>
        </w:rPr>
        <w:t>四、《财政拨款收入支出决算总表》</w:t>
      </w:r>
    </w:p>
    <w:p w14:paraId="2DFB257E">
      <w:pPr>
        <w:spacing w:line="240" w:lineRule="auto"/>
        <w:ind w:firstLine="640"/>
        <w:jc w:val="both"/>
      </w:pPr>
      <w:r>
        <w:rPr>
          <w:rFonts w:ascii="仿宋_GB2312" w:hAnsi="仿宋_GB2312" w:eastAsia="仿宋_GB2312"/>
          <w:b w:val="0"/>
          <w:sz w:val="32"/>
        </w:rPr>
        <w:t>五、《一般公共预算财政拨款支出决算表》</w:t>
      </w:r>
    </w:p>
    <w:p w14:paraId="366F3C4D">
      <w:pPr>
        <w:spacing w:line="240" w:lineRule="auto"/>
        <w:ind w:firstLine="640"/>
        <w:jc w:val="both"/>
      </w:pPr>
      <w:r>
        <w:rPr>
          <w:rFonts w:ascii="仿宋_GB2312" w:hAnsi="仿宋_GB2312" w:eastAsia="仿宋_GB2312"/>
          <w:b w:val="0"/>
          <w:sz w:val="32"/>
        </w:rPr>
        <w:t>六、《一般公共预算财政拨款基本支出决算表》</w:t>
      </w:r>
    </w:p>
    <w:p w14:paraId="195B7DFA">
      <w:pPr>
        <w:spacing w:line="240" w:lineRule="auto"/>
        <w:ind w:firstLine="640"/>
        <w:jc w:val="both"/>
      </w:pPr>
      <w:r>
        <w:rPr>
          <w:rFonts w:ascii="仿宋_GB2312" w:hAnsi="仿宋_GB2312" w:eastAsia="仿宋_GB2312"/>
          <w:b w:val="0"/>
          <w:sz w:val="32"/>
        </w:rPr>
        <w:t>七、《政府性基金预算财政拨款收入支出决算表》</w:t>
      </w:r>
    </w:p>
    <w:p w14:paraId="49FB43EA">
      <w:pPr>
        <w:spacing w:line="240" w:lineRule="auto"/>
        <w:ind w:firstLine="640"/>
        <w:jc w:val="both"/>
      </w:pPr>
      <w:r>
        <w:rPr>
          <w:rFonts w:ascii="仿宋_GB2312" w:hAnsi="仿宋_GB2312" w:eastAsia="仿宋_GB2312"/>
          <w:b w:val="0"/>
          <w:sz w:val="32"/>
        </w:rPr>
        <w:t>八、《国有资本经营预算财政拨款收入支出决算表》</w:t>
      </w:r>
    </w:p>
    <w:p w14:paraId="78909CFA">
      <w:pPr>
        <w:spacing w:line="240" w:lineRule="auto"/>
        <w:ind w:firstLine="640"/>
        <w:jc w:val="both"/>
      </w:pPr>
      <w:r>
        <w:rPr>
          <w:rFonts w:ascii="仿宋_GB2312" w:hAnsi="仿宋_GB2312" w:eastAsia="仿宋_GB2312"/>
          <w:b w:val="0"/>
          <w:sz w:val="32"/>
        </w:rPr>
        <w:t>九、《财政拨款“三公”经费支出决算表》</w:t>
      </w:r>
    </w:p>
    <w:p w14:paraId="6DE7020B">
      <w:pPr>
        <w:spacing w:line="240" w:lineRule="auto"/>
        <w:ind w:firstLine="640"/>
        <w:jc w:val="both"/>
      </w:pPr>
    </w:p>
    <w:p w14:paraId="24EA902A">
      <w:pPr>
        <w:spacing w:line="240" w:lineRule="auto"/>
        <w:ind w:firstLine="640"/>
        <w:jc w:val="both"/>
      </w:pPr>
    </w:p>
    <w:p w14:paraId="36EEE5E0">
      <w:pPr>
        <w:spacing w:line="240" w:lineRule="auto"/>
        <w:ind w:firstLine="640"/>
        <w:jc w:val="both"/>
      </w:pPr>
    </w:p>
    <w:p w14:paraId="1B5B2145">
      <w:pPr>
        <w:spacing w:line="240" w:lineRule="auto"/>
        <w:ind w:firstLine="640"/>
        <w:jc w:val="both"/>
      </w:pPr>
    </w:p>
    <w:p w14:paraId="0D38E22B">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E5EA93-4355-4BC4-84BC-8E4DCCCED3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46B3B2C2-7290-4E16-B655-C462178426A0}"/>
  </w:font>
  <w:font w:name="仿宋_GB2312">
    <w:panose1 w:val="02010609030101010101"/>
    <w:charset w:val="86"/>
    <w:family w:val="modern"/>
    <w:pitch w:val="default"/>
    <w:sig w:usb0="00000001" w:usb1="080E0000" w:usb2="00000000" w:usb3="00000000" w:csb0="00040000" w:csb1="00000000"/>
    <w:embedRegular r:id="rId3" w:fontKey="{F6D92EDF-4866-41DA-B774-C335374D0CA1}"/>
  </w:font>
  <w:font w:name="楷体_GB2312">
    <w:panose1 w:val="02010609030101010101"/>
    <w:charset w:val="86"/>
    <w:family w:val="auto"/>
    <w:pitch w:val="default"/>
    <w:sig w:usb0="00000001" w:usb1="080E0000" w:usb2="00000000" w:usb3="00000000" w:csb0="00040000" w:csb1="00000000"/>
    <w:embedRegular r:id="rId4" w:fontKey="{C8E0CBA6-2BAB-4AB4-A6EA-C089EBE419A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3A312C"/>
    <w:rsid w:val="47445515"/>
    <w:rsid w:val="4B4C0111"/>
    <w:rsid w:val="4BB23021"/>
    <w:rsid w:val="4F3F074E"/>
    <w:rsid w:val="50DB5F45"/>
    <w:rsid w:val="52F92565"/>
    <w:rsid w:val="543D17CB"/>
    <w:rsid w:val="55DA564E"/>
    <w:rsid w:val="56E07045"/>
    <w:rsid w:val="583059FA"/>
    <w:rsid w:val="587E6212"/>
    <w:rsid w:val="5AFC6609"/>
    <w:rsid w:val="5F364FB8"/>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2041</Words>
  <Characters>2289</Characters>
  <Lines>0</Lines>
  <Paragraphs>0</Paragraphs>
  <TotalTime>5</TotalTime>
  <ScaleCrop>false</ScaleCrop>
  <LinksUpToDate>false</LinksUpToDate>
  <CharactersWithSpaces>2297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雨。</cp:lastModifiedBy>
  <cp:lastPrinted>2024-07-22T11:58:00Z</cp:lastPrinted>
  <dcterms:modified xsi:type="dcterms:W3CDTF">2025-09-04T09:31:16Z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B858A68E913346F885B5BC17D4DBEB06_13</vt:lpwstr>
  </property>
  <property fmtid="{D5CDD505-2E9C-101B-9397-08002B2CF9AE}" pid="4" name="KSOTemplateDocerSaveRecord">
    <vt:lpwstr>eyJoZGlkIjoiMGIxZTI3ODM4ZmVjOGE5NDFiYmE3OTRiMjQ5OTEyNzIiLCJ1c2VySWQiOiIyNTk4NTcxMjUifQ==</vt:lpwstr>
  </property>
</Properties>
</file>