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中共和田县纪律检查委员会2024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64F2D409">
      <w:r>
        <w:br w:type="page"/>
      </w:r>
    </w:p>
    <w:p w14:paraId="6CED1593">
      <w:pPr>
        <w:spacing w:line="640" w:lineRule="exact"/>
        <w:jc w:val="center"/>
        <w:outlineLvl w:val="1"/>
      </w:pPr>
      <w:r>
        <w:rPr>
          <w:rFonts w:ascii="黑体" w:hAnsi="黑体" w:eastAsia="黑体"/>
          <w:sz w:val="32"/>
        </w:rPr>
        <w:t>第一部分 单位概况</w:t>
      </w:r>
    </w:p>
    <w:p w14:paraId="111341A8">
      <w:pPr>
        <w:spacing w:line="640" w:lineRule="exact"/>
        <w:ind w:firstLine="640"/>
        <w:jc w:val="both"/>
        <w:outlineLvl w:val="2"/>
      </w:pPr>
      <w:r>
        <w:rPr>
          <w:rFonts w:ascii="黑体" w:hAnsi="黑体" w:eastAsia="黑体"/>
          <w:sz w:val="32"/>
        </w:rPr>
        <w:t>一、主要职能</w:t>
      </w:r>
    </w:p>
    <w:p w14:paraId="3AAF0F97">
      <w:pPr>
        <w:spacing w:line="580" w:lineRule="exact"/>
        <w:ind w:firstLine="640"/>
        <w:jc w:val="both"/>
      </w:pPr>
      <w:r>
        <w:rPr>
          <w:rFonts w:ascii="仿宋_GB2312" w:hAnsi="仿宋_GB2312" w:eastAsia="仿宋_GB2312"/>
          <w:sz w:val="32"/>
        </w:rPr>
        <w:t>中共和田县纪律检查委员会与和田县监察委员会合署办公，实行一套工作机构、两个机关名称的体制，履行纪检、监察两项职责。主要职能是。</w:t>
      </w:r>
    </w:p>
    <w:p w14:paraId="550A590A">
      <w:pPr>
        <w:spacing w:line="580" w:lineRule="exact"/>
        <w:ind w:firstLine="640"/>
        <w:jc w:val="both"/>
      </w:pPr>
      <w:r>
        <w:rPr>
          <w:rFonts w:ascii="仿宋_GB2312" w:hAnsi="仿宋_GB2312" w:eastAsia="仿宋_GB2312"/>
          <w:sz w:val="32"/>
        </w:rPr>
        <w:t>（1）负责党的纪律检查工作。贯彻落实党中央、中央纪委和自治区党委、地区纪委监委关于纪律检查工作的决定，维护党的章程和其他党内法规，检查党的路线方针政策和决议的执行情况，协助和田县委推进全面从严治党、加强党风建设和组织协调反腐败工作。</w:t>
      </w:r>
    </w:p>
    <w:p w14:paraId="5427B687">
      <w:pPr>
        <w:spacing w:line="580" w:lineRule="exact"/>
        <w:ind w:firstLine="640"/>
        <w:jc w:val="both"/>
      </w:pPr>
      <w:r>
        <w:rPr>
          <w:rFonts w:ascii="仿宋_GB2312" w:hAnsi="仿宋_GB2312" w:eastAsia="仿宋_GB2312"/>
          <w:sz w:val="32"/>
        </w:rPr>
        <w:t>（2）依照党的章程和其他党内法规履行监督、执纪、问责职责。负责经常对党员进行遵守纪律的教育，作出关于维护党纪的决定；对和田县委工作部门、和田县委批准设立的党组(党委)，各乡镇党委、纪检监察办公室等党的组织和党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w:t>
      </w:r>
      <w:r>
        <w:rPr>
          <w:rFonts w:hint="eastAsia" w:ascii="仿宋_GB2312" w:hAnsi="仿宋_GB2312" w:eastAsia="仿宋_GB2312"/>
          <w:sz w:val="32"/>
          <w:lang w:eastAsia="zh-CN"/>
        </w:rPr>
        <w:t>保障党员权利</w:t>
      </w:r>
      <w:r>
        <w:rPr>
          <w:rFonts w:ascii="仿宋_GB2312" w:hAnsi="仿宋_GB2312" w:eastAsia="仿宋_GB2312"/>
          <w:sz w:val="32"/>
        </w:rPr>
        <w:t>。</w:t>
      </w:r>
    </w:p>
    <w:p w14:paraId="245C99E7">
      <w:pPr>
        <w:spacing w:line="580" w:lineRule="exact"/>
        <w:ind w:firstLine="640"/>
        <w:jc w:val="both"/>
      </w:pPr>
      <w:r>
        <w:rPr>
          <w:rFonts w:ascii="仿宋_GB2312" w:hAnsi="仿宋_GB2312" w:eastAsia="仿宋_GB2312"/>
          <w:sz w:val="32"/>
        </w:rPr>
        <w:t>（3）在和田县委领导下组织开展巡察工作。配合和田县委巡察工作领导小组指导各乡(镇)党委，和田县委有关部门、和田县人民政府有关部门巡察工作以及乡镇巡察工作。</w:t>
      </w:r>
    </w:p>
    <w:p w14:paraId="7054A4AF">
      <w:pPr>
        <w:spacing w:line="580" w:lineRule="exact"/>
        <w:ind w:firstLine="640"/>
        <w:jc w:val="both"/>
      </w:pPr>
      <w:r>
        <w:rPr>
          <w:rFonts w:ascii="仿宋_GB2312" w:hAnsi="仿宋_GB2312" w:eastAsia="仿宋_GB2312"/>
          <w:sz w:val="32"/>
        </w:rPr>
        <w:t>（4）负责全县监察工作。贯彻落实党中央、国家监委和自治区党委、地区纪委监委和县委关于监察工作的决定，维护宪法法律，依法对和田县委管理的行使公权力的公职人员进行监察，调查职务违法和职务</w:t>
      </w:r>
      <w:bookmarkStart w:id="0" w:name="_GoBack"/>
      <w:r>
        <w:rPr>
          <w:rFonts w:ascii="仿宋_GB2312" w:hAnsi="仿宋_GB2312" w:eastAsia="仿宋_GB2312"/>
          <w:sz w:val="32"/>
        </w:rPr>
        <w:t>犯罪</w:t>
      </w:r>
      <w:bookmarkEnd w:id="0"/>
      <w:r>
        <w:rPr>
          <w:rFonts w:ascii="仿宋_GB2312" w:hAnsi="仿宋_GB2312" w:eastAsia="仿宋_GB2312"/>
          <w:sz w:val="32"/>
        </w:rPr>
        <w:t>，开展廉政建设和反腐败工作。</w:t>
      </w:r>
    </w:p>
    <w:p w14:paraId="10675F0D">
      <w:pPr>
        <w:spacing w:line="580" w:lineRule="exact"/>
        <w:ind w:firstLine="640"/>
        <w:jc w:val="both"/>
      </w:pPr>
      <w:r>
        <w:rPr>
          <w:rFonts w:ascii="仿宋_GB2312" w:hAnsi="仿宋_GB2312" w:eastAsia="仿宋_GB2312"/>
          <w:sz w:val="32"/>
        </w:rPr>
        <w:t>（5）依照法律规定履行监督、调查、处置职责。对和田县委管理的行使公权力的公职人员落实党中央治疆方略、聚焦维护社会稳定和长治久安总目标，维护祖国统一，反对民族分裂情况进行监督检查，推进开展廉政教育，对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68D09E15">
      <w:pPr>
        <w:spacing w:line="580" w:lineRule="exact"/>
        <w:ind w:firstLine="640"/>
        <w:jc w:val="both"/>
      </w:pPr>
      <w:r>
        <w:rPr>
          <w:rFonts w:ascii="仿宋_GB2312" w:hAnsi="仿宋_GB2312" w:eastAsia="仿宋_GB2312"/>
          <w:sz w:val="32"/>
        </w:rPr>
        <w:t>（6）负责组织协调和田县全面从严治党、党风廉政建设和反腐败宣传教育工作。</w:t>
      </w:r>
    </w:p>
    <w:p w14:paraId="30EDFD57">
      <w:pPr>
        <w:spacing w:line="580" w:lineRule="exact"/>
        <w:ind w:firstLine="640"/>
        <w:jc w:val="both"/>
      </w:pPr>
      <w:r>
        <w:rPr>
          <w:rFonts w:ascii="仿宋_GB2312" w:hAnsi="仿宋_GB2312" w:eastAsia="仿宋_GB2312"/>
          <w:sz w:val="32"/>
        </w:rPr>
        <w:t>（7）负责综合分析和田县全面从严治党、党风廉政建设和反腐败工作情况，对纪检监察工作重要理论及实践问题进行调查研究；提出全县纪检监察法规制度建设规划、计划和立法立规建议，修改全县纪检监察法规、规章、规范性文件。</w:t>
      </w:r>
    </w:p>
    <w:p w14:paraId="38A76149">
      <w:pPr>
        <w:spacing w:line="580" w:lineRule="exact"/>
        <w:ind w:firstLine="640"/>
        <w:jc w:val="both"/>
      </w:pPr>
      <w:r>
        <w:rPr>
          <w:rFonts w:ascii="仿宋_GB2312" w:hAnsi="仿宋_GB2312" w:eastAsia="仿宋_GB2312"/>
          <w:sz w:val="32"/>
        </w:rPr>
        <w:t>（8）负责配合地区纪委监委做好与其他国家、地区、国际组织的反腐败国际交流、合作，加强对反腐败国际追逃追赃和防逃工作的组织协调，督促有关单位做好相关工作。</w:t>
      </w:r>
    </w:p>
    <w:p w14:paraId="5C8BB5F6">
      <w:pPr>
        <w:spacing w:line="580" w:lineRule="exact"/>
        <w:ind w:firstLine="640"/>
        <w:jc w:val="both"/>
      </w:pPr>
      <w:r>
        <w:rPr>
          <w:rFonts w:ascii="仿宋_GB2312" w:hAnsi="仿宋_GB2312" w:eastAsia="仿宋_GB2312"/>
          <w:sz w:val="32"/>
        </w:rPr>
        <w:t>（9）根据干部管理权限，负责和田县纪检监察系统领导班子建设、干部队伍建设和组织建设的综合规划、政策研究、制度建设和业务指导；会同有关方面做好和田县纪委监委派驻(派出)机构、各县市纪检监察机关、和田县委管理学校；组织和指导纪检监察系统干部教育培训工作等。</w:t>
      </w:r>
    </w:p>
    <w:p w14:paraId="2FA4C82E">
      <w:pPr>
        <w:spacing w:line="580" w:lineRule="exact"/>
        <w:ind w:firstLine="640"/>
        <w:jc w:val="both"/>
      </w:pPr>
      <w:r>
        <w:rPr>
          <w:rFonts w:ascii="仿宋_GB2312" w:hAnsi="仿宋_GB2312" w:eastAsia="仿宋_GB2312"/>
          <w:sz w:val="32"/>
        </w:rPr>
        <w:t>（10）完成地区纪委监委和县委交办的其他事项。</w:t>
      </w:r>
    </w:p>
    <w:p w14:paraId="5C3DA71D">
      <w:pPr>
        <w:spacing w:line="640" w:lineRule="exact"/>
        <w:ind w:firstLine="640"/>
        <w:jc w:val="both"/>
        <w:outlineLvl w:val="2"/>
      </w:pPr>
      <w:r>
        <w:rPr>
          <w:rFonts w:ascii="黑体" w:hAnsi="黑体" w:eastAsia="黑体"/>
          <w:sz w:val="32"/>
        </w:rPr>
        <w:t>二、机构设置及人员情况</w:t>
      </w:r>
    </w:p>
    <w:p w14:paraId="25A4BF79">
      <w:pPr>
        <w:spacing w:line="580" w:lineRule="exact"/>
        <w:ind w:firstLine="640"/>
        <w:jc w:val="both"/>
      </w:pPr>
      <w:r>
        <w:rPr>
          <w:rFonts w:ascii="仿宋_GB2312" w:hAnsi="仿宋_GB2312" w:eastAsia="仿宋_GB2312"/>
          <w:sz w:val="32"/>
        </w:rPr>
        <w:t>中共和田县纪律检查委员会2024年度，实有人数138人，其中：在职人员118人，增加1人；离休人员0人，增加0人；退休人员20人,增加5人。</w:t>
      </w:r>
    </w:p>
    <w:p w14:paraId="5C5C71EA">
      <w:pPr>
        <w:spacing w:line="580" w:lineRule="exact"/>
        <w:ind w:firstLine="640"/>
        <w:jc w:val="both"/>
      </w:pPr>
      <w:r>
        <w:rPr>
          <w:rFonts w:ascii="仿宋_GB2312" w:hAnsi="仿宋_GB2312" w:eastAsia="仿宋_GB2312"/>
          <w:sz w:val="32"/>
        </w:rPr>
        <w:t>中共和田县纪律检查委员会无下属预算单位，下设19个科室，分别是：办公室、组宣部、党风政风监督室、信访室、案件监督管理室、案件审理室、第一纪检监察室、第二纪检监察室、第三纪检监察室、第四纪检监察室、审查调查中心、直属机关纪检监察工作委员会、派驻第一纪检监察组、派驻第二纪检监察组、派驻第三纪检监察组、派驻第四纪检监察组、派驻第五纪检监察组、派驻第六纪检监察组、巡察办。</w:t>
      </w:r>
    </w:p>
    <w:p w14:paraId="3127B74D">
      <w:r>
        <w:br w:type="page"/>
      </w:r>
    </w:p>
    <w:p w14:paraId="1B71409A">
      <w:pPr>
        <w:spacing w:line="240" w:lineRule="auto"/>
        <w:jc w:val="center"/>
        <w:outlineLvl w:val="1"/>
      </w:pPr>
      <w:r>
        <w:rPr>
          <w:rFonts w:ascii="黑体" w:hAnsi="黑体" w:eastAsia="黑体"/>
          <w:sz w:val="32"/>
        </w:rPr>
        <w:t>第二部分 部门决算情况说明</w:t>
      </w:r>
    </w:p>
    <w:p w14:paraId="16342D39">
      <w:pPr>
        <w:spacing w:line="640" w:lineRule="exact"/>
        <w:ind w:firstLine="640"/>
        <w:jc w:val="both"/>
        <w:outlineLvl w:val="2"/>
      </w:pPr>
      <w:r>
        <w:rPr>
          <w:rFonts w:ascii="黑体" w:hAnsi="黑体" w:eastAsia="黑体"/>
          <w:sz w:val="32"/>
        </w:rPr>
        <w:t>一、收入支出决算总体情况说明</w:t>
      </w:r>
    </w:p>
    <w:p w14:paraId="20D16B6E">
      <w:pPr>
        <w:spacing w:line="580" w:lineRule="exact"/>
        <w:ind w:firstLine="640"/>
        <w:jc w:val="both"/>
      </w:pPr>
      <w:r>
        <w:rPr>
          <w:rFonts w:ascii="仿宋_GB2312" w:hAnsi="仿宋_GB2312" w:eastAsia="仿宋_GB2312"/>
          <w:b/>
          <w:sz w:val="32"/>
        </w:rPr>
        <w:t>2024年度收入总计2,807.96万元，</w:t>
      </w:r>
      <w:r>
        <w:rPr>
          <w:rFonts w:ascii="仿宋_GB2312" w:hAnsi="仿宋_GB2312" w:eastAsia="仿宋_GB2312"/>
          <w:b w:val="0"/>
          <w:sz w:val="32"/>
        </w:rPr>
        <w:t>其中：本年收入合计2,807.96万元，使用非财政拨款结余（含专用结余）0.00万元，年初结转和结余0.00万元。</w:t>
      </w:r>
    </w:p>
    <w:p w14:paraId="3BC370F9">
      <w:pPr>
        <w:spacing w:line="580" w:lineRule="exact"/>
        <w:ind w:firstLine="640"/>
        <w:jc w:val="both"/>
      </w:pPr>
      <w:r>
        <w:rPr>
          <w:rFonts w:ascii="仿宋_GB2312" w:hAnsi="仿宋_GB2312" w:eastAsia="仿宋_GB2312"/>
          <w:b/>
          <w:sz w:val="32"/>
        </w:rPr>
        <w:t>2024年度支出总计2,807.96万元，</w:t>
      </w:r>
      <w:r>
        <w:rPr>
          <w:rFonts w:ascii="仿宋_GB2312" w:hAnsi="仿宋_GB2312" w:eastAsia="仿宋_GB2312"/>
          <w:b w:val="0"/>
          <w:sz w:val="32"/>
        </w:rPr>
        <w:t>其中：本年支出合计2,807.96万元，结余分配0.00万元，年末结转和结余0.00万元。</w:t>
      </w:r>
    </w:p>
    <w:p w14:paraId="7C4950D0">
      <w:pPr>
        <w:spacing w:line="580" w:lineRule="exact"/>
        <w:ind w:firstLine="640"/>
        <w:jc w:val="both"/>
      </w:pPr>
      <w:r>
        <w:rPr>
          <w:rFonts w:ascii="仿宋_GB2312" w:hAnsi="仿宋_GB2312" w:eastAsia="仿宋_GB2312"/>
          <w:b w:val="0"/>
          <w:sz w:val="32"/>
        </w:rPr>
        <w:t>收入支出总体与上年相比，减少1,733.98万元，下降38.18%，主要原因是：本年减少和田县经济新区2022年公共服务用房建设项目。</w:t>
      </w:r>
    </w:p>
    <w:p w14:paraId="1FFE78C2">
      <w:pPr>
        <w:spacing w:line="640" w:lineRule="exact"/>
        <w:ind w:firstLine="640"/>
        <w:jc w:val="both"/>
        <w:outlineLvl w:val="2"/>
      </w:pPr>
      <w:r>
        <w:rPr>
          <w:rFonts w:ascii="黑体" w:hAnsi="黑体" w:eastAsia="黑体"/>
          <w:sz w:val="32"/>
        </w:rPr>
        <w:t>二、收入决算情况说明</w:t>
      </w:r>
    </w:p>
    <w:p w14:paraId="32D43658">
      <w:pPr>
        <w:spacing w:line="580" w:lineRule="exact"/>
        <w:ind w:firstLine="640"/>
        <w:jc w:val="both"/>
      </w:pPr>
      <w:r>
        <w:rPr>
          <w:rFonts w:ascii="仿宋_GB2312" w:hAnsi="仿宋_GB2312" w:eastAsia="仿宋_GB2312"/>
          <w:b/>
          <w:sz w:val="32"/>
        </w:rPr>
        <w:t>本年收入2,807.96万元，</w:t>
      </w:r>
      <w:r>
        <w:rPr>
          <w:rFonts w:ascii="仿宋_GB2312" w:hAnsi="仿宋_GB2312" w:eastAsia="仿宋_GB2312"/>
          <w:b w:val="0"/>
          <w:sz w:val="32"/>
        </w:rPr>
        <w:t>其中：财政拨款收入2,807.96万元，占100.00%；上级补助收入0.00万元，占0.00%；事业收入0.00万元，占0.00%；经营收入0.00万元，占0.00%；附属单位上缴收入0.00万元，占0.00%；其他收入0.00万元，占0.00%。</w:t>
      </w:r>
    </w:p>
    <w:p w14:paraId="33C04D7E">
      <w:pPr>
        <w:spacing w:line="640" w:lineRule="exact"/>
        <w:ind w:firstLine="640"/>
        <w:jc w:val="both"/>
        <w:outlineLvl w:val="2"/>
      </w:pPr>
      <w:r>
        <w:rPr>
          <w:rFonts w:ascii="黑体" w:hAnsi="黑体" w:eastAsia="黑体"/>
          <w:sz w:val="32"/>
        </w:rPr>
        <w:t>三、支出决算情况说明</w:t>
      </w:r>
    </w:p>
    <w:p w14:paraId="5502CFD4">
      <w:pPr>
        <w:spacing w:line="580" w:lineRule="exact"/>
        <w:ind w:firstLine="640"/>
        <w:jc w:val="both"/>
      </w:pPr>
      <w:r>
        <w:rPr>
          <w:rFonts w:ascii="仿宋_GB2312" w:hAnsi="仿宋_GB2312" w:eastAsia="仿宋_GB2312"/>
          <w:b/>
          <w:sz w:val="32"/>
        </w:rPr>
        <w:t>本年支出2,807.96万元，</w:t>
      </w:r>
      <w:r>
        <w:rPr>
          <w:rFonts w:ascii="仿宋_GB2312" w:hAnsi="仿宋_GB2312" w:eastAsia="仿宋_GB2312"/>
          <w:b w:val="0"/>
          <w:sz w:val="32"/>
        </w:rPr>
        <w:t>其中：基本支出2,667.16万元，占94.99%；项目支出140.80万元，占5.01%；上缴上级支出0.00万元，占0.00%；经营支出0.00万元，占0.00%；对附属单位补助支出0.00万元，占0.00%。</w:t>
      </w:r>
    </w:p>
    <w:p w14:paraId="077DBF58">
      <w:pPr>
        <w:spacing w:line="640" w:lineRule="exact"/>
        <w:ind w:firstLine="640"/>
        <w:jc w:val="both"/>
        <w:outlineLvl w:val="2"/>
      </w:pPr>
      <w:r>
        <w:rPr>
          <w:rFonts w:ascii="黑体" w:hAnsi="黑体" w:eastAsia="黑体"/>
          <w:sz w:val="32"/>
        </w:rPr>
        <w:t>四、财政拨款收入支出决算总体情况说明</w:t>
      </w:r>
    </w:p>
    <w:p w14:paraId="617ED71A">
      <w:pPr>
        <w:spacing w:line="580" w:lineRule="exact"/>
        <w:ind w:firstLine="640"/>
        <w:jc w:val="both"/>
      </w:pPr>
      <w:r>
        <w:rPr>
          <w:rFonts w:ascii="仿宋_GB2312" w:hAnsi="仿宋_GB2312" w:eastAsia="仿宋_GB2312"/>
          <w:b/>
          <w:sz w:val="32"/>
        </w:rPr>
        <w:t>2024年度财政拨款收入总计2,807.96万元，</w:t>
      </w:r>
      <w:r>
        <w:rPr>
          <w:rFonts w:ascii="仿宋_GB2312" w:hAnsi="仿宋_GB2312" w:eastAsia="仿宋_GB2312"/>
          <w:b w:val="0"/>
          <w:sz w:val="32"/>
        </w:rPr>
        <w:t>其中：年初财政拨款结转和结余0.00万元，本年财政拨款收入2,807.96万元。</w:t>
      </w:r>
      <w:r>
        <w:rPr>
          <w:rFonts w:ascii="仿宋_GB2312" w:hAnsi="仿宋_GB2312" w:eastAsia="仿宋_GB2312"/>
          <w:b/>
          <w:sz w:val="32"/>
        </w:rPr>
        <w:t>财政拨款支出总计2,807.96万元，</w:t>
      </w:r>
      <w:r>
        <w:rPr>
          <w:rFonts w:ascii="仿宋_GB2312" w:hAnsi="仿宋_GB2312" w:eastAsia="仿宋_GB2312"/>
          <w:b w:val="0"/>
          <w:sz w:val="32"/>
        </w:rPr>
        <w:t>其中：年末财政拨款结转和结余0.00万元，本年财政拨款支出2,807.96万元。</w:t>
      </w:r>
    </w:p>
    <w:p w14:paraId="7ACAD0A6">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减少1,733.98万元，下降38.18%，主要原因是：本年减少和田县经济新区2022年公共服务用房建设项目。</w:t>
      </w:r>
      <w:r>
        <w:rPr>
          <w:rFonts w:ascii="仿宋_GB2312" w:hAnsi="仿宋_GB2312" w:eastAsia="仿宋_GB2312"/>
          <w:b/>
          <w:sz w:val="32"/>
        </w:rPr>
        <w:t>与年初预算相比，</w:t>
      </w:r>
      <w:r>
        <w:rPr>
          <w:rFonts w:ascii="仿宋_GB2312" w:hAnsi="仿宋_GB2312" w:eastAsia="仿宋_GB2312"/>
          <w:b w:val="0"/>
          <w:sz w:val="32"/>
        </w:rPr>
        <w:t>年初预算数2,714.57万元，决算数2,807.96万元，预决算差异率3.44%，主要原因是：本年在职人员增加，在职人员调薪，年中追加人员工资、社保、公积金基数调增部分资金，导致预决算存在差异。</w:t>
      </w:r>
    </w:p>
    <w:p w14:paraId="75056969">
      <w:pPr>
        <w:spacing w:line="640" w:lineRule="exact"/>
        <w:ind w:firstLine="640"/>
        <w:jc w:val="both"/>
        <w:outlineLvl w:val="2"/>
      </w:pPr>
      <w:r>
        <w:rPr>
          <w:rFonts w:ascii="黑体" w:hAnsi="黑体" w:eastAsia="黑体"/>
          <w:sz w:val="32"/>
        </w:rPr>
        <w:t>五、一般公共预算财政拨款支出决算情况说明</w:t>
      </w:r>
    </w:p>
    <w:p w14:paraId="3BACFB97">
      <w:pPr>
        <w:spacing w:line="640" w:lineRule="exact"/>
        <w:ind w:firstLine="640"/>
        <w:jc w:val="both"/>
        <w:outlineLvl w:val="3"/>
      </w:pPr>
      <w:r>
        <w:rPr>
          <w:rFonts w:ascii="楷体_GB2312" w:hAnsi="楷体_GB2312" w:eastAsia="楷体_GB2312"/>
          <w:b/>
          <w:sz w:val="32"/>
        </w:rPr>
        <w:t>（一）一般公共预算财政拨款支出决算总体情况</w:t>
      </w:r>
    </w:p>
    <w:p w14:paraId="6A44D5B2">
      <w:pPr>
        <w:spacing w:line="580" w:lineRule="exact"/>
        <w:ind w:firstLine="640"/>
        <w:jc w:val="both"/>
      </w:pPr>
      <w:r>
        <w:rPr>
          <w:rFonts w:ascii="仿宋_GB2312" w:hAnsi="仿宋_GB2312" w:eastAsia="仿宋_GB2312"/>
          <w:b/>
          <w:sz w:val="32"/>
        </w:rPr>
        <w:t>2024年度一般公共预算财政拨款支出2,807.96万元，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减少1,733.98万元，下降38.18%，主要原因是：本年减少和田县经济新区2022年公共服务用房建设项目。</w:t>
      </w:r>
      <w:r>
        <w:rPr>
          <w:rFonts w:ascii="仿宋_GB2312" w:hAnsi="仿宋_GB2312" w:eastAsia="仿宋_GB2312"/>
          <w:b/>
          <w:sz w:val="32"/>
        </w:rPr>
        <w:t>与年初预算相比,</w:t>
      </w:r>
      <w:r>
        <w:rPr>
          <w:rFonts w:ascii="仿宋_GB2312" w:hAnsi="仿宋_GB2312" w:eastAsia="仿宋_GB2312"/>
          <w:b w:val="0"/>
          <w:sz w:val="32"/>
        </w:rPr>
        <w:t>年初预算数2,714.57万元，决算数2,807.96万元，预决算差异率3.44%，主要原因是：本年在职人员增加，在职人员调薪，年中追加人员工资、社保、公积金基数调增部分资金，导致预决算存在差异。</w:t>
      </w:r>
    </w:p>
    <w:p w14:paraId="28E7035E">
      <w:pPr>
        <w:spacing w:line="640" w:lineRule="exact"/>
        <w:ind w:firstLine="640"/>
        <w:jc w:val="both"/>
        <w:outlineLvl w:val="3"/>
      </w:pPr>
      <w:r>
        <w:rPr>
          <w:rFonts w:ascii="楷体_GB2312" w:hAnsi="楷体_GB2312" w:eastAsia="楷体_GB2312"/>
          <w:b/>
          <w:sz w:val="32"/>
        </w:rPr>
        <w:t>（二）一般公共预算财政拨款支出决算结构情况</w:t>
      </w:r>
    </w:p>
    <w:p w14:paraId="2584BCA2">
      <w:pPr>
        <w:spacing w:line="580" w:lineRule="exact"/>
        <w:ind w:firstLine="640"/>
        <w:jc w:val="both"/>
      </w:pPr>
      <w:r>
        <w:rPr>
          <w:rFonts w:ascii="仿宋_GB2312" w:hAnsi="仿宋_GB2312" w:eastAsia="仿宋_GB2312"/>
          <w:b w:val="0"/>
          <w:sz w:val="32"/>
        </w:rPr>
        <w:t>1.一般公共服务支出(类)2,200.16万元,占78.35%。</w:t>
      </w:r>
    </w:p>
    <w:p w14:paraId="64078145">
      <w:pPr>
        <w:spacing w:line="580" w:lineRule="exact"/>
        <w:ind w:firstLine="640"/>
        <w:jc w:val="both"/>
      </w:pPr>
      <w:r>
        <w:rPr>
          <w:rFonts w:ascii="仿宋_GB2312" w:hAnsi="仿宋_GB2312" w:eastAsia="仿宋_GB2312"/>
          <w:b w:val="0"/>
          <w:sz w:val="32"/>
        </w:rPr>
        <w:t>2.社会保障和就业支出(类)342.10万元,占12.18%。</w:t>
      </w:r>
    </w:p>
    <w:p w14:paraId="5CE47BAD">
      <w:pPr>
        <w:spacing w:line="580" w:lineRule="exact"/>
        <w:ind w:firstLine="640"/>
        <w:jc w:val="both"/>
      </w:pPr>
      <w:r>
        <w:rPr>
          <w:rFonts w:ascii="仿宋_GB2312" w:hAnsi="仿宋_GB2312" w:eastAsia="仿宋_GB2312"/>
          <w:b w:val="0"/>
          <w:sz w:val="32"/>
        </w:rPr>
        <w:t>3.住房保障支出(类)179.92万元,占6.41%。</w:t>
      </w:r>
    </w:p>
    <w:p w14:paraId="6E29D64C">
      <w:pPr>
        <w:spacing w:line="580" w:lineRule="exact"/>
        <w:ind w:firstLine="640"/>
        <w:jc w:val="both"/>
      </w:pPr>
      <w:r>
        <w:rPr>
          <w:rFonts w:ascii="仿宋_GB2312" w:hAnsi="仿宋_GB2312" w:eastAsia="仿宋_GB2312"/>
          <w:b w:val="0"/>
          <w:sz w:val="32"/>
        </w:rPr>
        <w:t>4.其他支出(类)85.78万元,占3.05%。</w:t>
      </w:r>
    </w:p>
    <w:p w14:paraId="0443323C">
      <w:pPr>
        <w:spacing w:line="640" w:lineRule="exact"/>
        <w:ind w:firstLine="640"/>
        <w:jc w:val="both"/>
        <w:outlineLvl w:val="3"/>
      </w:pPr>
      <w:r>
        <w:rPr>
          <w:rFonts w:ascii="楷体_GB2312" w:hAnsi="楷体_GB2312" w:eastAsia="楷体_GB2312"/>
          <w:b/>
          <w:sz w:val="32"/>
        </w:rPr>
        <w:t>（三）一般公共预算财政拨款支出决算具体情况</w:t>
      </w:r>
    </w:p>
    <w:p w14:paraId="353A5631">
      <w:pPr>
        <w:spacing w:line="580" w:lineRule="exact"/>
        <w:ind w:firstLine="640"/>
        <w:jc w:val="both"/>
      </w:pPr>
      <w:r>
        <w:rPr>
          <w:rFonts w:ascii="仿宋_GB2312" w:hAnsi="仿宋_GB2312" w:eastAsia="仿宋_GB2312"/>
          <w:b w:val="0"/>
          <w:sz w:val="32"/>
        </w:rPr>
        <w:t>1.一般公共服务支出(类)纪检监察事务(款)行政运行(项):支出决算数为2,145.15万元，比上年决算减少341.24万元，下降13.72%,主要原因是：本年</w:t>
      </w:r>
      <w:r>
        <w:rPr>
          <w:rFonts w:hint="eastAsia" w:ascii="仿宋_GB2312" w:hAnsi="仿宋_GB2312" w:eastAsia="仿宋_GB2312"/>
          <w:b w:val="0"/>
          <w:sz w:val="32"/>
          <w:lang w:val="en-US" w:eastAsia="zh-CN"/>
        </w:rPr>
        <w:t>业务</w:t>
      </w:r>
      <w:r>
        <w:rPr>
          <w:rFonts w:ascii="仿宋_GB2312" w:hAnsi="仿宋_GB2312" w:eastAsia="仿宋_GB2312"/>
          <w:b w:val="0"/>
          <w:sz w:val="32"/>
        </w:rPr>
        <w:t>前期费减少，本年功能科目调整，住房公积金上年度在行政运行列支，本年单独列支，导致经费较上年减少。</w:t>
      </w:r>
    </w:p>
    <w:p w14:paraId="0143FBAB">
      <w:pPr>
        <w:spacing w:line="580" w:lineRule="exact"/>
        <w:ind w:firstLine="640"/>
        <w:jc w:val="both"/>
      </w:pPr>
      <w:r>
        <w:rPr>
          <w:rFonts w:ascii="仿宋_GB2312" w:hAnsi="仿宋_GB2312" w:eastAsia="仿宋_GB2312"/>
          <w:b w:val="0"/>
          <w:sz w:val="32"/>
        </w:rPr>
        <w:t>2.一般公共服务支出(类)纪检监察事务(款)其他纪检监察事务支出(项):支出决算数为55.02万元，比上年决算减少1,687.97万元，下降96.84%,主要原因是：本年减少和田县经济新区2022年公共服务用房建设项目。</w:t>
      </w:r>
    </w:p>
    <w:p w14:paraId="6D6BEFD8">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235.55万元，比上年决算增加26.04万元，增长12.43%,主要原因是：本年在职人员工资基数调增，养老缴费基数上涨，相应支出增加。</w:t>
      </w:r>
    </w:p>
    <w:p w14:paraId="34533442">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4.社会保障和就业支出(类)行政事业单位养老支出(款)机关事业单位职业年金缴费支出(项):支出决算数为106.55万元，比上年决算增加90.18万元，增长550.89%,主要原因是：本年新增退休人员，职业年金缴费支出增加。</w:t>
      </w:r>
    </w:p>
    <w:p w14:paraId="2391B1B1">
      <w:pPr>
        <w:spacing w:line="580" w:lineRule="exact"/>
        <w:ind w:firstLine="640"/>
        <w:jc w:val="both"/>
      </w:pPr>
      <w:r>
        <w:rPr>
          <w:rFonts w:ascii="仿宋_GB2312" w:hAnsi="仿宋_GB2312" w:eastAsia="仿宋_GB2312"/>
          <w:b w:val="0"/>
          <w:sz w:val="32"/>
        </w:rPr>
        <w:t>5.住房保障支出(类)住房改革支出(款)住房公积金(项):支出决算数为179.92万元，比上年决算增加179.92万元，增长100.00%,主要原因是：本年功能科目调整，住房公积金上年度在主科目列支，本年单独列支，导致经费较上年增加。</w:t>
      </w:r>
    </w:p>
    <w:p w14:paraId="4B4F095D">
      <w:pPr>
        <w:spacing w:line="580" w:lineRule="exact"/>
        <w:ind w:firstLine="640"/>
        <w:jc w:val="both"/>
      </w:pPr>
      <w:r>
        <w:rPr>
          <w:rFonts w:ascii="仿宋_GB2312" w:hAnsi="仿宋_GB2312" w:eastAsia="仿宋_GB2312"/>
          <w:b w:val="0"/>
          <w:sz w:val="32"/>
        </w:rPr>
        <w:t>6.其他支出(类)其他支出(款)其他支出(项):支出决算数为85.78万元，比上年决算减少0.89万元，下降1.03%,主要原因是：本年减少驻村工作队经费，导致支出较上年减少。</w:t>
      </w:r>
    </w:p>
    <w:p w14:paraId="2E50A08F">
      <w:pPr>
        <w:spacing w:line="640" w:lineRule="exact"/>
        <w:ind w:firstLine="640"/>
        <w:jc w:val="both"/>
        <w:outlineLvl w:val="2"/>
      </w:pPr>
      <w:r>
        <w:rPr>
          <w:rFonts w:ascii="黑体" w:hAnsi="黑体" w:eastAsia="黑体"/>
          <w:sz w:val="32"/>
        </w:rPr>
        <w:t>六、一般公共预算财政拨款基本支出决算情况说明</w:t>
      </w:r>
    </w:p>
    <w:p w14:paraId="3B4B6649">
      <w:pPr>
        <w:spacing w:line="580" w:lineRule="exact"/>
        <w:ind w:firstLine="640"/>
        <w:jc w:val="both"/>
      </w:pPr>
      <w:r>
        <w:rPr>
          <w:rFonts w:ascii="仿宋_GB2312" w:hAnsi="仿宋_GB2312" w:eastAsia="仿宋_GB2312"/>
          <w:b w:val="0"/>
          <w:sz w:val="32"/>
        </w:rPr>
        <w:t>2024年度一般公共预算财政拨款基本支出2,667.16万元，其中：</w:t>
      </w:r>
      <w:r>
        <w:rPr>
          <w:rFonts w:ascii="仿宋_GB2312" w:hAnsi="仿宋_GB2312" w:eastAsia="仿宋_GB2312"/>
          <w:b/>
          <w:sz w:val="32"/>
        </w:rPr>
        <w:t>人员经费2,476.68万元，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w:t>
      </w:r>
    </w:p>
    <w:p w14:paraId="74EA6573">
      <w:pPr>
        <w:spacing w:line="580" w:lineRule="exact"/>
        <w:ind w:firstLine="640"/>
        <w:jc w:val="both"/>
      </w:pPr>
      <w:r>
        <w:rPr>
          <w:rFonts w:ascii="仿宋_GB2312" w:hAnsi="仿宋_GB2312" w:eastAsia="仿宋_GB2312"/>
          <w:b/>
          <w:sz w:val="32"/>
        </w:rPr>
        <w:t>公用经费190.49万元，</w:t>
      </w:r>
      <w:r>
        <w:rPr>
          <w:rFonts w:ascii="仿宋_GB2312" w:hAnsi="仿宋_GB2312" w:eastAsia="仿宋_GB2312"/>
          <w:b w:val="0"/>
          <w:sz w:val="32"/>
        </w:rPr>
        <w:t>包括：办公费、印刷费、水费、电费、邮电费、取暖费、物业管理费、差旅费、维修（护）费、租赁费、公务用车运行维护费、税金及附加费用、办公设备购置。</w:t>
      </w:r>
    </w:p>
    <w:p w14:paraId="153DB870">
      <w:pPr>
        <w:spacing w:line="640" w:lineRule="exact"/>
        <w:ind w:firstLine="640"/>
        <w:jc w:val="both"/>
        <w:outlineLvl w:val="2"/>
      </w:pPr>
      <w:r>
        <w:rPr>
          <w:rFonts w:ascii="黑体" w:hAnsi="黑体" w:eastAsia="黑体"/>
          <w:sz w:val="32"/>
        </w:rPr>
        <w:t>七、政府性基金预算财政拨款收入支出决算情况说明</w:t>
      </w:r>
    </w:p>
    <w:p w14:paraId="024C610B">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67A12A0E">
      <w:pPr>
        <w:spacing w:line="640" w:lineRule="exact"/>
        <w:ind w:firstLine="640"/>
        <w:jc w:val="both"/>
        <w:outlineLvl w:val="2"/>
      </w:pPr>
      <w:r>
        <w:rPr>
          <w:rFonts w:ascii="黑体" w:hAnsi="黑体" w:eastAsia="黑体"/>
          <w:sz w:val="32"/>
        </w:rPr>
        <w:t>八、国有资本经营预算财政拨款收入支出决算情况说明</w:t>
      </w:r>
    </w:p>
    <w:p w14:paraId="39B809D1">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66293D1">
      <w:pPr>
        <w:spacing w:line="640" w:lineRule="exact"/>
        <w:ind w:firstLine="640"/>
        <w:jc w:val="both"/>
        <w:outlineLvl w:val="2"/>
      </w:pPr>
      <w:r>
        <w:rPr>
          <w:rFonts w:ascii="黑体" w:hAnsi="黑体" w:eastAsia="黑体"/>
          <w:sz w:val="32"/>
        </w:rPr>
        <w:t>九、财政拨款“三公”经费支出决算情况说明</w:t>
      </w:r>
    </w:p>
    <w:p w14:paraId="1BDE550C">
      <w:pPr>
        <w:spacing w:line="580" w:lineRule="exact"/>
        <w:ind w:firstLine="640"/>
        <w:jc w:val="both"/>
      </w:pPr>
      <w:r>
        <w:rPr>
          <w:rFonts w:ascii="仿宋_GB2312" w:hAnsi="仿宋_GB2312" w:eastAsia="仿宋_GB2312"/>
          <w:b/>
          <w:sz w:val="32"/>
        </w:rPr>
        <w:t>2024年度财政拨款“三公”经费支出38.44万元，</w:t>
      </w:r>
      <w:r>
        <w:rPr>
          <w:rFonts w:ascii="仿宋_GB2312" w:hAnsi="仿宋_GB2312" w:eastAsia="仿宋_GB2312"/>
          <w:b w:val="0"/>
          <w:sz w:val="32"/>
        </w:rPr>
        <w:t>比上年增加22.91万元，增长147.52%，主要原因是：本单位公务用车日渐老化，维修维护成本增加，导致公务用车运行维护费较上年增加。其中：因公出国（境）费支出0.00万元，占0.00%，比上年增加0.00万元，增长0.00%，主要原因是：2023年与2024年均未安排因公出国（境）费支出。公务用车购置及运行维护费支出38.44万元，占100.00%，比上年增加22.91万元，增长147.52%，主要原因是：本单位公务用车日渐老化，维修维护成本增加，导致公务用车运行维护费较上年增加。公务接待费支出0.00万元，占0.00%，比上年增加0.00万元，增长0.00%，主要原因是：2023年与2024年均未安排公务接待费支出。</w:t>
      </w:r>
    </w:p>
    <w:p w14:paraId="2920FBF6">
      <w:pPr>
        <w:spacing w:line="580" w:lineRule="exact"/>
        <w:ind w:firstLine="640"/>
        <w:jc w:val="both"/>
      </w:pPr>
      <w:r>
        <w:rPr>
          <w:rFonts w:ascii="仿宋_GB2312" w:hAnsi="仿宋_GB2312" w:eastAsia="仿宋_GB2312"/>
          <w:b/>
          <w:sz w:val="32"/>
        </w:rPr>
        <w:t>具体情况如下：</w:t>
      </w:r>
    </w:p>
    <w:p w14:paraId="07A2D848">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0D8B7C42">
      <w:pPr>
        <w:spacing w:line="580" w:lineRule="exact"/>
        <w:ind w:firstLine="640"/>
        <w:jc w:val="both"/>
      </w:pPr>
      <w:r>
        <w:rPr>
          <w:rFonts w:ascii="仿宋_GB2312" w:hAnsi="仿宋_GB2312" w:eastAsia="仿宋_GB2312"/>
          <w:b w:val="0"/>
          <w:sz w:val="32"/>
        </w:rPr>
        <w:t>公务用车购置及运行维护费38.44万元，其中：公务用车购置费0.00万元，公务用车运行维护费38.44万元。公务用车运行维护费开支内容包括车辆加油费、维修费、保险费、审车费。公务用车购置数0辆，公务用车保有量12辆。国有资产占用情况中固定资产车辆12辆，与公务用车保有量差异原因是：本单位固定资产车辆与公务用车保有量一致无差异。</w:t>
      </w:r>
    </w:p>
    <w:p w14:paraId="7CCD3660">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4897A005">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38.44万元，决算数38.44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38.44万元，决算数38.44万元，预决算差异率0.00%，主要原因是：严格按照预算执行，预决算无差异。公务接待费全年预算数0.00万元，决算数0.00万元，预决算差异率0.00%，主要原因是：本单位无公务接待费。</w:t>
      </w:r>
    </w:p>
    <w:p w14:paraId="11A6A782">
      <w:pPr>
        <w:spacing w:line="640" w:lineRule="exact"/>
        <w:ind w:firstLine="640"/>
        <w:jc w:val="both"/>
        <w:outlineLvl w:val="2"/>
      </w:pPr>
      <w:r>
        <w:rPr>
          <w:rFonts w:ascii="黑体" w:hAnsi="黑体" w:eastAsia="黑体"/>
          <w:sz w:val="32"/>
        </w:rPr>
        <w:t>十、其他重要事项的情况说明</w:t>
      </w:r>
    </w:p>
    <w:p w14:paraId="3D5CCE91">
      <w:pPr>
        <w:spacing w:line="640" w:lineRule="exact"/>
        <w:ind w:firstLine="640"/>
        <w:jc w:val="both"/>
        <w:outlineLvl w:val="3"/>
      </w:pPr>
      <w:r>
        <w:rPr>
          <w:rFonts w:ascii="楷体_GB2312" w:hAnsi="楷体_GB2312" w:eastAsia="楷体_GB2312"/>
          <w:b/>
          <w:sz w:val="32"/>
        </w:rPr>
        <w:t>（一）机关运行经费及公用经费支出情况</w:t>
      </w:r>
    </w:p>
    <w:p w14:paraId="6E61CAFA">
      <w:pPr>
        <w:spacing w:line="580" w:lineRule="exact"/>
        <w:ind w:firstLine="640"/>
        <w:jc w:val="both"/>
      </w:pPr>
      <w:r>
        <w:rPr>
          <w:rFonts w:ascii="仿宋_GB2312" w:hAnsi="仿宋_GB2312" w:eastAsia="仿宋_GB2312"/>
          <w:b w:val="0"/>
          <w:sz w:val="32"/>
        </w:rPr>
        <w:t>2024年度中共和田县纪律检查委员会（行政单位和参照公务员法管理事业单位）机关运行经费支出190.49万元，比上年减少145.05万元，下降43.23%，主要原因是：本年和田县经济新区2022年公共服务用房建设资金</w:t>
      </w:r>
      <w:r>
        <w:rPr>
          <w:rFonts w:hint="eastAsia" w:ascii="仿宋_GB2312" w:hAnsi="仿宋_GB2312" w:eastAsia="仿宋_GB2312"/>
          <w:b w:val="0"/>
          <w:sz w:val="32"/>
          <w:lang w:val="en-US" w:eastAsia="zh-CN"/>
        </w:rPr>
        <w:t>在项目支出中反映</w:t>
      </w:r>
      <w:r>
        <w:rPr>
          <w:rFonts w:ascii="仿宋_GB2312" w:hAnsi="仿宋_GB2312" w:eastAsia="仿宋_GB2312"/>
          <w:b w:val="0"/>
          <w:sz w:val="32"/>
        </w:rPr>
        <w:t>，导致经费较上年减少。</w:t>
      </w:r>
    </w:p>
    <w:p w14:paraId="12CF37BA">
      <w:pPr>
        <w:spacing w:line="640" w:lineRule="exact"/>
        <w:ind w:firstLine="640"/>
        <w:jc w:val="both"/>
        <w:outlineLvl w:val="3"/>
      </w:pPr>
      <w:r>
        <w:rPr>
          <w:rFonts w:ascii="楷体_GB2312" w:hAnsi="楷体_GB2312" w:eastAsia="楷体_GB2312"/>
          <w:b/>
          <w:sz w:val="32"/>
        </w:rPr>
        <w:t>（二）政府采购情况</w:t>
      </w:r>
    </w:p>
    <w:p w14:paraId="3CA690F6">
      <w:pPr>
        <w:spacing w:line="580" w:lineRule="exact"/>
        <w:ind w:firstLine="640"/>
        <w:jc w:val="both"/>
      </w:pPr>
      <w:r>
        <w:rPr>
          <w:rFonts w:ascii="仿宋_GB2312" w:hAnsi="仿宋_GB2312" w:eastAsia="仿宋_GB2312"/>
          <w:b w:val="0"/>
          <w:sz w:val="32"/>
        </w:rPr>
        <w:t>2024年度政府采购支出总额34.27万元，其中：政府采购货物支出25.12万元、政府采购工程支出0.00万元、政府采购服务支出9.15万元。</w:t>
      </w:r>
    </w:p>
    <w:p w14:paraId="3FE5F5FD">
      <w:pPr>
        <w:spacing w:line="580" w:lineRule="exact"/>
        <w:ind w:firstLine="640"/>
        <w:jc w:val="both"/>
      </w:pPr>
      <w:r>
        <w:rPr>
          <w:rFonts w:ascii="仿宋_GB2312" w:hAnsi="仿宋_GB2312" w:eastAsia="仿宋_GB2312"/>
          <w:b w:val="0"/>
          <w:sz w:val="32"/>
        </w:rPr>
        <w:t>授予中小企业合同金额34.27万元，占政府采购支出总额的100.00%，其中：授予小微企业合同金额34.27万元，占政府采购支出总额的100.00%。</w:t>
      </w:r>
    </w:p>
    <w:p w14:paraId="2696C94D">
      <w:pPr>
        <w:spacing w:line="640" w:lineRule="exact"/>
        <w:ind w:firstLine="640"/>
        <w:jc w:val="both"/>
        <w:outlineLvl w:val="3"/>
      </w:pPr>
      <w:r>
        <w:rPr>
          <w:rFonts w:ascii="楷体_GB2312" w:hAnsi="楷体_GB2312" w:eastAsia="楷体_GB2312"/>
          <w:b/>
          <w:sz w:val="32"/>
        </w:rPr>
        <w:t>（三）国有资产占用情况说明</w:t>
      </w:r>
    </w:p>
    <w:p w14:paraId="6F0B126B">
      <w:pPr>
        <w:spacing w:line="580" w:lineRule="exact"/>
        <w:ind w:firstLine="640"/>
        <w:jc w:val="both"/>
      </w:pPr>
      <w:r>
        <w:rPr>
          <w:rFonts w:ascii="仿宋_GB2312" w:hAnsi="仿宋_GB2312" w:eastAsia="仿宋_GB2312"/>
          <w:b w:val="0"/>
          <w:sz w:val="32"/>
        </w:rPr>
        <w:t>截至2024年12月31日，房屋0.00平方米，价值0.00万元。车辆12辆，价值163.72万元，其中：副部（省）级及以上领导用车0辆、主要负责人用车0辆、机要通信用车0辆、应急保障用车0辆、执法执勤用车0辆、特种专业技术用车0辆、离退休干部服务用车0辆、其他用车12辆，其他用车主要是：一般公务用车。单价100万元（含）以上设备（不含车辆）0台（套）。</w:t>
      </w:r>
    </w:p>
    <w:p w14:paraId="579E2ECA">
      <w:pPr>
        <w:spacing w:line="640" w:lineRule="exact"/>
        <w:ind w:firstLine="640"/>
        <w:jc w:val="both"/>
        <w:outlineLvl w:val="2"/>
      </w:pPr>
      <w:r>
        <w:rPr>
          <w:rFonts w:ascii="黑体" w:hAnsi="黑体" w:eastAsia="黑体"/>
          <w:sz w:val="32"/>
        </w:rPr>
        <w:t>十一、预算绩效的情况说明</w:t>
      </w:r>
    </w:p>
    <w:p w14:paraId="7B2AD93A">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2,807.95万元，实际执行总额2,807.95万元；预算绩效评价项目2个，全年预算数138.62万元，全年执行数44.62万元。预算绩效管理取得的成效：一是单位进一步提高预算绩效管理认识，强化以“绩效为中心、对支出结果负责、对社会公众负责”的理念，在绩效目标编制方面，绩效目标设置，数量目标和质量目标量化日渐</w:t>
      </w:r>
      <w:r>
        <w:rPr>
          <w:rFonts w:hint="eastAsia" w:ascii="仿宋_GB2312" w:hAnsi="仿宋_GB2312" w:eastAsia="仿宋_GB2312"/>
          <w:b w:val="0"/>
          <w:sz w:val="32"/>
          <w:lang w:eastAsia="zh-CN"/>
        </w:rPr>
        <w:t>吻合</w:t>
      </w:r>
      <w:r>
        <w:rPr>
          <w:rFonts w:ascii="仿宋_GB2312" w:hAnsi="仿宋_GB2312" w:eastAsia="仿宋_GB2312"/>
          <w:b w:val="0"/>
          <w:sz w:val="32"/>
        </w:rPr>
        <w:t>。二是加强预算绩效动态监控管理，及时跟踪项目进度，对项目实施中存在的具体问题采取纠偏措施。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继续加大绩效工作宣传力度，强化绩效理念；二是继续完善绩效指标，提高整体绩效目标质量。提升预算精细化管理水平；三是继续完善预算绩效管理相关工作制度，建立全过程预算绩效管理链条，有效贯彻落实全面实施绩效管理的精神。具体附整体支出绩效自评表，项目支出绩效自评表和评价报告。</w:t>
      </w:r>
    </w:p>
    <w:p w14:paraId="1DEE2A14">
      <w:r>
        <w:br w:type="page"/>
      </w:r>
    </w:p>
    <w:tbl>
      <w:tblPr>
        <w:tblStyle w:val="9"/>
        <w:tblW w:w="0" w:type="auto"/>
        <w:tblInd w:w="0" w:type="dxa"/>
        <w:tblLayout w:type="fixed"/>
        <w:tblCellMar>
          <w:top w:w="0" w:type="dxa"/>
          <w:left w:w="108" w:type="dxa"/>
          <w:bottom w:w="0" w:type="dxa"/>
          <w:right w:w="108" w:type="dxa"/>
        </w:tblCellMar>
      </w:tblPr>
      <w:tblGrid>
        <w:gridCol w:w="983"/>
        <w:gridCol w:w="983"/>
        <w:gridCol w:w="983"/>
        <w:gridCol w:w="983"/>
        <w:gridCol w:w="826"/>
        <w:gridCol w:w="1333"/>
        <w:gridCol w:w="613"/>
        <w:gridCol w:w="1160"/>
        <w:gridCol w:w="983"/>
      </w:tblGrid>
      <w:tr w14:paraId="72A56319">
        <w:tblPrEx>
          <w:tblCellMar>
            <w:top w:w="0" w:type="dxa"/>
            <w:left w:w="108" w:type="dxa"/>
            <w:bottom w:w="0" w:type="dxa"/>
            <w:right w:w="108" w:type="dxa"/>
          </w:tblCellMar>
        </w:tblPrEx>
        <w:tc>
          <w:tcPr>
            <w:tcW w:w="8847" w:type="dxa"/>
            <w:gridSpan w:val="9"/>
            <w:vAlign w:val="center"/>
          </w:tcPr>
          <w:p w14:paraId="0D0B0BA9">
            <w:pPr>
              <w:jc w:val="center"/>
            </w:pPr>
            <w:r>
              <w:rPr>
                <w:rFonts w:ascii="宋体" w:hAnsi="宋体" w:eastAsia="宋体"/>
                <w:sz w:val="24"/>
              </w:rPr>
              <w:t>单位整体支出绩效自评表</w:t>
            </w:r>
          </w:p>
        </w:tc>
      </w:tr>
      <w:tr w14:paraId="16B891C8">
        <w:tblPrEx>
          <w:tblCellMar>
            <w:top w:w="0" w:type="dxa"/>
            <w:left w:w="108" w:type="dxa"/>
            <w:bottom w:w="0" w:type="dxa"/>
            <w:right w:w="108" w:type="dxa"/>
          </w:tblCellMar>
        </w:tblPrEx>
        <w:tc>
          <w:tcPr>
            <w:tcW w:w="8847" w:type="dxa"/>
            <w:gridSpan w:val="9"/>
            <w:vAlign w:val="center"/>
          </w:tcPr>
          <w:p w14:paraId="2CEF70A6">
            <w:pPr>
              <w:jc w:val="center"/>
            </w:pPr>
            <w:r>
              <w:rPr>
                <w:rFonts w:ascii="宋体" w:hAnsi="宋体" w:eastAsia="宋体"/>
                <w:sz w:val="24"/>
              </w:rPr>
              <w:t>（2024年度）</w:t>
            </w:r>
          </w:p>
        </w:tc>
      </w:tr>
      <w:tr w14:paraId="0E5C98B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4187BB">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8ACB7C1">
            <w:pPr>
              <w:jc w:val="center"/>
            </w:pPr>
            <w:r>
              <w:rPr>
                <w:rFonts w:ascii="宋体" w:hAnsi="宋体" w:eastAsia="宋体"/>
                <w:sz w:val="16"/>
              </w:rPr>
              <w:t>中共和田县纪律检查委员会</w:t>
            </w:r>
          </w:p>
        </w:tc>
      </w:tr>
      <w:tr w14:paraId="1B40938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ACD297">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EFA3E9">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6EDC5B">
            <w:pPr>
              <w:jc w:val="center"/>
            </w:pPr>
            <w:r>
              <w:rPr>
                <w:rFonts w:ascii="宋体" w:hAnsi="宋体" w:eastAsia="宋体"/>
                <w:sz w:val="16"/>
              </w:rPr>
              <w:t>年初预算数</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476B58A0">
            <w:pPr>
              <w:jc w:val="center"/>
            </w:pPr>
            <w:r>
              <w:rPr>
                <w:rFonts w:ascii="宋体" w:hAnsi="宋体" w:eastAsia="宋体"/>
                <w:sz w:val="16"/>
              </w:rPr>
              <w:t>全年预算数</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4746073C">
            <w:pPr>
              <w:jc w:val="center"/>
            </w:pPr>
            <w:r>
              <w:rPr>
                <w:rFonts w:ascii="宋体" w:hAnsi="宋体" w:eastAsia="宋体"/>
                <w:sz w:val="16"/>
              </w:rPr>
              <w:t>全年执行数</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7C0D7537">
            <w:pPr>
              <w:jc w:val="center"/>
            </w:pPr>
            <w:r>
              <w:rPr>
                <w:rFonts w:ascii="宋体" w:hAnsi="宋体" w:eastAsia="宋体"/>
                <w:sz w:val="16"/>
              </w:rPr>
              <w:t>分值权重</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3FB447A0">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A911D9">
            <w:pPr>
              <w:jc w:val="center"/>
            </w:pPr>
            <w:r>
              <w:rPr>
                <w:rFonts w:ascii="宋体" w:hAnsi="宋体" w:eastAsia="宋体"/>
                <w:sz w:val="16"/>
              </w:rPr>
              <w:t>得分</w:t>
            </w:r>
          </w:p>
        </w:tc>
      </w:tr>
      <w:tr w14:paraId="59CB619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8B993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DEAB6A">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BD6CD0">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6A7828">
            <w:pPr>
              <w:jc w:val="center"/>
            </w:pPr>
            <w:r>
              <w:rPr>
                <w:rFonts w:ascii="宋体" w:hAnsi="宋体" w:eastAsia="宋体"/>
                <w:sz w:val="16"/>
              </w:rPr>
              <w:t>0.00</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6C64AEF7">
            <w:pPr>
              <w:jc w:val="center"/>
            </w:pPr>
            <w:r>
              <w:rPr>
                <w:rFonts w:ascii="宋体" w:hAnsi="宋体" w:eastAsia="宋体"/>
                <w:sz w:val="16"/>
              </w:rPr>
              <w:t>96.18</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6F338120">
            <w:pPr>
              <w:jc w:val="center"/>
            </w:pPr>
            <w:r>
              <w:rPr>
                <w:rFonts w:ascii="宋体" w:hAnsi="宋体" w:eastAsia="宋体"/>
                <w:sz w:val="16"/>
              </w:rPr>
              <w:t>96.18</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13DF3A2C">
            <w:pPr>
              <w:jc w:val="center"/>
            </w:pPr>
            <w:r>
              <w:rPr>
                <w:rFonts w:ascii="宋体" w:hAnsi="宋体" w:eastAsia="宋体"/>
                <w:sz w:val="16"/>
              </w:rPr>
              <w:t>10</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1A6E7229">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FBD03">
            <w:pPr>
              <w:jc w:val="center"/>
            </w:pPr>
            <w:r>
              <w:rPr>
                <w:rFonts w:ascii="宋体" w:hAnsi="宋体" w:eastAsia="宋体"/>
                <w:sz w:val="16"/>
              </w:rPr>
              <w:t>10</w:t>
            </w:r>
          </w:p>
        </w:tc>
      </w:tr>
      <w:tr w14:paraId="118292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8D8C5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B9086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BB1CC8">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9E2CF3">
            <w:pPr>
              <w:jc w:val="center"/>
            </w:pPr>
            <w:r>
              <w:rPr>
                <w:rFonts w:ascii="宋体" w:hAnsi="宋体" w:eastAsia="宋体"/>
                <w:sz w:val="16"/>
              </w:rPr>
              <w:t>2,714.57</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7AFC6941">
            <w:pPr>
              <w:jc w:val="center"/>
            </w:pPr>
            <w:r>
              <w:rPr>
                <w:rFonts w:ascii="宋体" w:hAnsi="宋体" w:eastAsia="宋体"/>
                <w:sz w:val="16"/>
              </w:rPr>
              <w:t>2,711.77</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44189EB7">
            <w:pPr>
              <w:jc w:val="center"/>
            </w:pPr>
            <w:r>
              <w:rPr>
                <w:rFonts w:ascii="宋体" w:hAnsi="宋体" w:eastAsia="宋体"/>
                <w:sz w:val="16"/>
              </w:rPr>
              <w:t>2,711.77</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7B7D3178">
            <w:pPr>
              <w:jc w:val="center"/>
            </w:pPr>
            <w:r>
              <w:rPr>
                <w:rFonts w:ascii="宋体" w:hAnsi="宋体" w:eastAsia="宋体"/>
                <w:sz w:val="16"/>
              </w:rPr>
              <w:t>-</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268C0B7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DC2C90">
            <w:pPr>
              <w:jc w:val="center"/>
            </w:pPr>
            <w:r>
              <w:rPr>
                <w:rFonts w:ascii="宋体" w:hAnsi="宋体" w:eastAsia="宋体"/>
                <w:sz w:val="16"/>
              </w:rPr>
              <w:t>-</w:t>
            </w:r>
          </w:p>
        </w:tc>
      </w:tr>
      <w:tr w14:paraId="067D2B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AF0E6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FA911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541E4A">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A77802">
            <w:pPr>
              <w:jc w:val="center"/>
            </w:pPr>
            <w:r>
              <w:rPr>
                <w:rFonts w:ascii="宋体" w:hAnsi="宋体" w:eastAsia="宋体"/>
                <w:sz w:val="16"/>
              </w:rPr>
              <w:t>0.00</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4F08C68E">
            <w:pPr>
              <w:jc w:val="center"/>
            </w:pPr>
            <w:r>
              <w:rPr>
                <w:rFonts w:ascii="宋体" w:hAnsi="宋体" w:eastAsia="宋体"/>
                <w:sz w:val="16"/>
              </w:rPr>
              <w:t>0.00</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26B1FF45">
            <w:pPr>
              <w:jc w:val="center"/>
            </w:pPr>
            <w:r>
              <w:rPr>
                <w:rFonts w:ascii="宋体" w:hAnsi="宋体" w:eastAsia="宋体"/>
                <w:sz w:val="16"/>
              </w:rPr>
              <w:t>0.00</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3ED65294">
            <w:pPr>
              <w:jc w:val="center"/>
            </w:pPr>
            <w:r>
              <w:rPr>
                <w:rFonts w:ascii="宋体" w:hAnsi="宋体" w:eastAsia="宋体"/>
                <w:sz w:val="16"/>
              </w:rPr>
              <w:t>-</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66ED4F7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220AF8">
            <w:pPr>
              <w:jc w:val="center"/>
            </w:pPr>
            <w:r>
              <w:rPr>
                <w:rFonts w:ascii="宋体" w:hAnsi="宋体" w:eastAsia="宋体"/>
                <w:sz w:val="16"/>
              </w:rPr>
              <w:t>-</w:t>
            </w:r>
          </w:p>
        </w:tc>
      </w:tr>
      <w:tr w14:paraId="1085A3F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28CC0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B5943B">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F3DE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59681">
            <w:pPr>
              <w:jc w:val="center"/>
            </w:pPr>
            <w:r>
              <w:rPr>
                <w:rFonts w:ascii="宋体" w:hAnsi="宋体" w:eastAsia="宋体"/>
                <w:sz w:val="16"/>
              </w:rPr>
              <w:t>2,714.57</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4899F0F8">
            <w:pPr>
              <w:jc w:val="center"/>
            </w:pPr>
            <w:r>
              <w:rPr>
                <w:rFonts w:ascii="宋体" w:hAnsi="宋体" w:eastAsia="宋体"/>
                <w:sz w:val="16"/>
              </w:rPr>
              <w:t>2,807.95</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0EFCA676">
            <w:pPr>
              <w:jc w:val="center"/>
            </w:pPr>
            <w:r>
              <w:rPr>
                <w:rFonts w:ascii="宋体" w:hAnsi="宋体" w:eastAsia="宋体"/>
                <w:sz w:val="16"/>
              </w:rPr>
              <w:t>2,807.95</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052ABA34">
            <w:pPr>
              <w:jc w:val="center"/>
            </w:pPr>
            <w:r>
              <w:rPr>
                <w:rFonts w:ascii="宋体" w:hAnsi="宋体" w:eastAsia="宋体"/>
                <w:sz w:val="16"/>
              </w:rPr>
              <w:t>-</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7BC39B5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0E4A00">
            <w:pPr>
              <w:jc w:val="center"/>
            </w:pPr>
            <w:r>
              <w:rPr>
                <w:rFonts w:ascii="宋体" w:hAnsi="宋体" w:eastAsia="宋体"/>
                <w:sz w:val="16"/>
              </w:rPr>
              <w:t>-</w:t>
            </w:r>
          </w:p>
        </w:tc>
      </w:tr>
      <w:tr w14:paraId="2AEF81B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33E8A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63CF2A0">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B0A8C9E">
            <w:pPr>
              <w:jc w:val="center"/>
            </w:pPr>
            <w:r>
              <w:rPr>
                <w:rFonts w:ascii="宋体" w:hAnsi="宋体" w:eastAsia="宋体"/>
                <w:sz w:val="16"/>
              </w:rPr>
              <w:t>实际完成情况</w:t>
            </w:r>
          </w:p>
        </w:tc>
      </w:tr>
      <w:tr w14:paraId="10B3D91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57F23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9EBF7CF">
            <w:pPr>
              <w:jc w:val="both"/>
            </w:pPr>
            <w:r>
              <w:rPr>
                <w:rFonts w:ascii="宋体" w:hAnsi="宋体" w:eastAsia="宋体"/>
                <w:sz w:val="16"/>
              </w:rPr>
              <w:t>坚定不移深入学习贯彻党的二十大精神，切实做到全面学习、全面把握、全面落实；坚定不移强化政治监督，全力保障县委中心工作顺利实施；坚定不移贯彻完善党的自我革命制度规范体系的战略部署，不断完善领导体制和工作机制；坚定不移全面加强党的纪律建设，着力推动党员干部形成遵规守纪的高度自觉；坚定不移落实中央八项规定精神，驰而不息纠治“四风”树新风；坚定不移深化政治巡察、不断增强巡察监督权威性、威慑力、穿透力；坚定不移一体推进“三不腐”，持续巩固发展反腐败斗争压倒性胜利；坚定不移加强规范化法制化正规化建设，推动纪检监察工作高质量发展；坚定不移严管严治干部队伍，持续打造堪当重任的新时代纪检监察铁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35A7121">
            <w:pPr>
              <w:jc w:val="both"/>
            </w:pPr>
            <w:r>
              <w:rPr>
                <w:rFonts w:hint="eastAsia" w:ascii="宋体" w:hAnsi="宋体"/>
                <w:sz w:val="16"/>
                <w:lang w:eastAsia="zh-CN"/>
              </w:rPr>
              <w:t>截至</w:t>
            </w:r>
            <w:r>
              <w:rPr>
                <w:rFonts w:ascii="宋体" w:hAnsi="宋体" w:eastAsia="宋体"/>
                <w:sz w:val="16"/>
              </w:rPr>
              <w:t>自评节点，本年度我单位坚定不移深入学习贯彻党的二十大精神，切实做到全面学习、全面把握、全面落实；坚定不移强化政治监督，全力保障县委中心工作顺利实施；坚定不移贯彻完善党的自我革命制度规范体系的战略部署，不断完善领导体制和工作机制；坚定不移全面加强党的纪律建设，着力推动党员干部形成遵规守纪的高度自觉；坚定不移落实中央八项规定精神，驰而不息纠治“四风”树新风；坚定不移深化政治巡察、不断增强巡察监督权威性、威慑力、穿透力；坚定不移一体推进“三不腐”，持续巩固发展反腐败斗争压倒性胜利；坚定不移加强规范化法制化正规化建设，推动纪检监察工作高质量发展；坚定不移严管严治干部队伍，持续打造堪当重任的新时代纪检监察铁军。开展廉政教育月宣传活动10次、开展纪检监察干部业务素质集中培训班12次，开展巡察次数4次。</w:t>
            </w:r>
          </w:p>
        </w:tc>
      </w:tr>
      <w:tr w14:paraId="1F8CAAE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33E08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4AFF5A">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1A56FA">
            <w:pPr>
              <w:jc w:val="center"/>
            </w:pPr>
            <w:r>
              <w:rPr>
                <w:rFonts w:ascii="宋体" w:hAnsi="宋体" w:eastAsia="宋体"/>
                <w:sz w:val="16"/>
              </w:rPr>
              <w:t>三级指标</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5AA439F1">
            <w:pPr>
              <w:jc w:val="center"/>
            </w:pPr>
            <w:r>
              <w:rPr>
                <w:rFonts w:ascii="宋体" w:hAnsi="宋体" w:eastAsia="宋体"/>
                <w:sz w:val="16"/>
              </w:rPr>
              <w:t>预期指标值</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2EF3A64D">
            <w:pPr>
              <w:jc w:val="center"/>
            </w:pPr>
            <w:r>
              <w:rPr>
                <w:rFonts w:ascii="宋体" w:hAnsi="宋体" w:eastAsia="宋体"/>
                <w:sz w:val="16"/>
              </w:rPr>
              <w:t>指标值设定依据</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6BCDA383">
            <w:pPr>
              <w:jc w:val="center"/>
            </w:pPr>
            <w:r>
              <w:rPr>
                <w:rFonts w:ascii="宋体" w:hAnsi="宋体" w:eastAsia="宋体"/>
                <w:sz w:val="16"/>
              </w:rPr>
              <w:t>分值权重</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198AC7D8">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30A258">
            <w:pPr>
              <w:jc w:val="center"/>
            </w:pPr>
            <w:r>
              <w:rPr>
                <w:rFonts w:ascii="宋体" w:hAnsi="宋体" w:eastAsia="宋体"/>
                <w:sz w:val="16"/>
              </w:rPr>
              <w:t>得分</w:t>
            </w:r>
          </w:p>
        </w:tc>
      </w:tr>
      <w:tr w14:paraId="1F3D22C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FE7271">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99F3FB">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C96890">
            <w:pPr>
              <w:jc w:val="center"/>
            </w:pPr>
            <w:r>
              <w:rPr>
                <w:rFonts w:ascii="宋体" w:hAnsi="宋体" w:eastAsia="宋体"/>
                <w:sz w:val="16"/>
              </w:rPr>
              <w:t>基本经费成本控制</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648F1B7C">
            <w:pPr>
              <w:jc w:val="center"/>
            </w:pPr>
            <w:r>
              <w:rPr>
                <w:rFonts w:ascii="宋体" w:hAnsi="宋体" w:eastAsia="宋体"/>
                <w:sz w:val="16"/>
              </w:rPr>
              <w:t>&lt;=2628.57万元</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796B8106">
            <w:pPr>
              <w:jc w:val="center"/>
            </w:pPr>
            <w:r>
              <w:rPr>
                <w:rFonts w:ascii="宋体" w:hAnsi="宋体" w:eastAsia="宋体"/>
                <w:sz w:val="16"/>
              </w:rPr>
              <w:t>2024年预算下达数</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7724BEA3">
            <w:pPr>
              <w:jc w:val="center"/>
            </w:pPr>
            <w:r>
              <w:rPr>
                <w:rFonts w:ascii="宋体" w:hAnsi="宋体" w:eastAsia="宋体"/>
                <w:sz w:val="16"/>
              </w:rPr>
              <w:t>15</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3D8B0A93">
            <w:pPr>
              <w:jc w:val="center"/>
            </w:pPr>
            <w:r>
              <w:rPr>
                <w:rFonts w:ascii="宋体" w:hAnsi="宋体" w:eastAsia="宋体"/>
                <w:sz w:val="16"/>
              </w:rPr>
              <w:t>2628.57万元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BC9DA7">
            <w:pPr>
              <w:jc w:val="center"/>
            </w:pPr>
            <w:r>
              <w:rPr>
                <w:rFonts w:ascii="宋体" w:hAnsi="宋体" w:eastAsia="宋体"/>
                <w:sz w:val="16"/>
              </w:rPr>
              <w:t>15</w:t>
            </w:r>
          </w:p>
        </w:tc>
      </w:tr>
      <w:tr w14:paraId="544068C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CBC3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F7EFD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923644">
            <w:pPr>
              <w:jc w:val="center"/>
            </w:pPr>
            <w:r>
              <w:rPr>
                <w:rFonts w:ascii="宋体" w:hAnsi="宋体" w:eastAsia="宋体"/>
                <w:sz w:val="16"/>
              </w:rPr>
              <w:t>项目经费成本控制</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2491FB18">
            <w:pPr>
              <w:jc w:val="center"/>
            </w:pPr>
            <w:r>
              <w:rPr>
                <w:rFonts w:ascii="宋体" w:hAnsi="宋体" w:eastAsia="宋体"/>
                <w:sz w:val="16"/>
              </w:rPr>
              <w:t>&lt;=86万元</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255B9757">
            <w:pPr>
              <w:jc w:val="center"/>
            </w:pPr>
            <w:r>
              <w:rPr>
                <w:rFonts w:ascii="宋体" w:hAnsi="宋体" w:eastAsia="宋体"/>
                <w:sz w:val="16"/>
              </w:rPr>
              <w:t>2024年预算下达数</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50AA1C76">
            <w:pPr>
              <w:jc w:val="center"/>
            </w:pPr>
            <w:r>
              <w:rPr>
                <w:rFonts w:ascii="宋体" w:hAnsi="宋体" w:eastAsia="宋体"/>
                <w:sz w:val="16"/>
              </w:rPr>
              <w:t>15</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2D8CA09C">
            <w:pPr>
              <w:jc w:val="center"/>
            </w:pPr>
            <w:r>
              <w:rPr>
                <w:rFonts w:ascii="宋体" w:hAnsi="宋体" w:eastAsia="宋体"/>
                <w:sz w:val="16"/>
              </w:rPr>
              <w:t>86万元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3D972A">
            <w:pPr>
              <w:jc w:val="center"/>
            </w:pPr>
            <w:r>
              <w:rPr>
                <w:rFonts w:ascii="宋体" w:hAnsi="宋体" w:eastAsia="宋体"/>
                <w:sz w:val="16"/>
              </w:rPr>
              <w:t>15</w:t>
            </w:r>
          </w:p>
        </w:tc>
      </w:tr>
      <w:tr w14:paraId="1A3D9A1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77B660">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56F3A5">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4A2E1F">
            <w:pPr>
              <w:jc w:val="center"/>
            </w:pPr>
            <w:r>
              <w:rPr>
                <w:rFonts w:ascii="宋体" w:hAnsi="宋体" w:eastAsia="宋体"/>
                <w:sz w:val="16"/>
              </w:rPr>
              <w:t>开展廉政教育月宣传活动</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2D75D8AC">
            <w:pPr>
              <w:jc w:val="center"/>
            </w:pPr>
            <w:r>
              <w:rPr>
                <w:rFonts w:ascii="宋体" w:hAnsi="宋体" w:eastAsia="宋体"/>
                <w:sz w:val="16"/>
              </w:rPr>
              <w:t>&gt;=10次</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106D01BF">
            <w:pPr>
              <w:jc w:val="center"/>
            </w:pPr>
            <w:r>
              <w:rPr>
                <w:rFonts w:ascii="宋体" w:hAnsi="宋体" w:eastAsia="宋体"/>
                <w:sz w:val="16"/>
              </w:rPr>
              <w:t>2024年工作计划</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2DEF5BD1">
            <w:pPr>
              <w:jc w:val="center"/>
            </w:pPr>
            <w:r>
              <w:rPr>
                <w:rFonts w:ascii="宋体" w:hAnsi="宋体" w:eastAsia="宋体"/>
                <w:sz w:val="16"/>
              </w:rPr>
              <w:t>20</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72542E72">
            <w:pPr>
              <w:jc w:val="center"/>
            </w:pPr>
            <w:r>
              <w:rPr>
                <w:rFonts w:ascii="宋体" w:hAnsi="宋体" w:eastAsia="宋体"/>
                <w:sz w:val="16"/>
              </w:rPr>
              <w:t>10次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8FCB2F">
            <w:pPr>
              <w:jc w:val="center"/>
            </w:pPr>
            <w:r>
              <w:rPr>
                <w:rFonts w:ascii="宋体" w:hAnsi="宋体" w:eastAsia="宋体"/>
                <w:sz w:val="16"/>
              </w:rPr>
              <w:t>20</w:t>
            </w:r>
          </w:p>
        </w:tc>
      </w:tr>
      <w:tr w14:paraId="54648A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55A09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D1F27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C75EAA">
            <w:pPr>
              <w:jc w:val="center"/>
            </w:pPr>
            <w:r>
              <w:rPr>
                <w:rFonts w:ascii="宋体" w:hAnsi="宋体" w:eastAsia="宋体"/>
                <w:sz w:val="16"/>
              </w:rPr>
              <w:t>开展纪检监察干部业务素质集中培训班</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0107EBB3">
            <w:pPr>
              <w:jc w:val="center"/>
            </w:pPr>
            <w:r>
              <w:rPr>
                <w:rFonts w:ascii="宋体" w:hAnsi="宋体" w:eastAsia="宋体"/>
                <w:sz w:val="16"/>
              </w:rPr>
              <w:t>&gt;=12次</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22A4CC26">
            <w:pPr>
              <w:jc w:val="center"/>
            </w:pPr>
            <w:r>
              <w:rPr>
                <w:rFonts w:ascii="宋体" w:hAnsi="宋体" w:eastAsia="宋体"/>
                <w:sz w:val="16"/>
              </w:rPr>
              <w:t>2024年工作计划</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743E744B">
            <w:pPr>
              <w:jc w:val="center"/>
            </w:pPr>
            <w:r>
              <w:rPr>
                <w:rFonts w:ascii="宋体" w:hAnsi="宋体" w:eastAsia="宋体"/>
                <w:sz w:val="16"/>
              </w:rPr>
              <w:t>20</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7930F2D8">
            <w:pPr>
              <w:jc w:val="center"/>
            </w:pPr>
            <w:r>
              <w:rPr>
                <w:rFonts w:ascii="宋体" w:hAnsi="宋体" w:eastAsia="宋体"/>
                <w:sz w:val="16"/>
              </w:rPr>
              <w:t>12次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CF03DC">
            <w:pPr>
              <w:jc w:val="center"/>
            </w:pPr>
            <w:r>
              <w:rPr>
                <w:rFonts w:ascii="宋体" w:hAnsi="宋体" w:eastAsia="宋体"/>
                <w:sz w:val="16"/>
              </w:rPr>
              <w:t>20</w:t>
            </w:r>
          </w:p>
        </w:tc>
      </w:tr>
      <w:tr w14:paraId="1C25C0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0D266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9ACF0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5B4966">
            <w:pPr>
              <w:jc w:val="center"/>
            </w:pPr>
            <w:r>
              <w:rPr>
                <w:rFonts w:ascii="宋体" w:hAnsi="宋体" w:eastAsia="宋体"/>
                <w:sz w:val="16"/>
              </w:rPr>
              <w:t>开展巡察次数</w:t>
            </w:r>
          </w:p>
        </w:tc>
        <w:tc>
          <w:tcPr>
            <w:tcW w:w="826" w:type="dxa"/>
            <w:tcBorders>
              <w:top w:val="single" w:color="auto" w:sz="10" w:space="0"/>
              <w:left w:val="single" w:color="auto" w:sz="10" w:space="0"/>
              <w:bottom w:val="single" w:color="auto" w:sz="10" w:space="0"/>
              <w:right w:val="single" w:color="auto" w:sz="10" w:space="0"/>
              <w:insideV w:val="single" w:sz="10" w:space="0"/>
            </w:tcBorders>
            <w:vAlign w:val="center"/>
          </w:tcPr>
          <w:p w14:paraId="3E6402A8">
            <w:pPr>
              <w:jc w:val="center"/>
            </w:pPr>
            <w:r>
              <w:rPr>
                <w:rFonts w:ascii="宋体" w:hAnsi="宋体" w:eastAsia="宋体"/>
                <w:sz w:val="16"/>
              </w:rPr>
              <w:t>&gt;=4次</w:t>
            </w:r>
          </w:p>
        </w:tc>
        <w:tc>
          <w:tcPr>
            <w:tcW w:w="1333" w:type="dxa"/>
            <w:tcBorders>
              <w:top w:val="single" w:color="auto" w:sz="10" w:space="0"/>
              <w:left w:val="single" w:color="auto" w:sz="10" w:space="0"/>
              <w:bottom w:val="single" w:color="auto" w:sz="10" w:space="0"/>
              <w:right w:val="single" w:color="auto" w:sz="10" w:space="0"/>
              <w:insideV w:val="single" w:sz="10" w:space="0"/>
            </w:tcBorders>
            <w:vAlign w:val="center"/>
          </w:tcPr>
          <w:p w14:paraId="33A4FB6B">
            <w:pPr>
              <w:jc w:val="center"/>
            </w:pPr>
            <w:r>
              <w:rPr>
                <w:rFonts w:ascii="宋体" w:hAnsi="宋体" w:eastAsia="宋体"/>
                <w:sz w:val="16"/>
              </w:rPr>
              <w:t>2024年工作计划</w:t>
            </w:r>
          </w:p>
        </w:tc>
        <w:tc>
          <w:tcPr>
            <w:tcW w:w="613" w:type="dxa"/>
            <w:tcBorders>
              <w:top w:val="single" w:color="auto" w:sz="10" w:space="0"/>
              <w:left w:val="single" w:color="auto" w:sz="10" w:space="0"/>
              <w:bottom w:val="single" w:color="auto" w:sz="10" w:space="0"/>
              <w:right w:val="single" w:color="auto" w:sz="10" w:space="0"/>
              <w:insideV w:val="single" w:sz="10" w:space="0"/>
            </w:tcBorders>
            <w:vAlign w:val="center"/>
          </w:tcPr>
          <w:p w14:paraId="654B2C13">
            <w:pPr>
              <w:jc w:val="center"/>
            </w:pPr>
            <w:r>
              <w:rPr>
                <w:rFonts w:ascii="宋体" w:hAnsi="宋体" w:eastAsia="宋体"/>
                <w:sz w:val="16"/>
              </w:rPr>
              <w:t>20</w:t>
            </w:r>
          </w:p>
        </w:tc>
        <w:tc>
          <w:tcPr>
            <w:tcW w:w="1160" w:type="dxa"/>
            <w:tcBorders>
              <w:top w:val="single" w:color="auto" w:sz="10" w:space="0"/>
              <w:left w:val="single" w:color="auto" w:sz="10" w:space="0"/>
              <w:bottom w:val="single" w:color="auto" w:sz="10" w:space="0"/>
              <w:right w:val="single" w:color="auto" w:sz="10" w:space="0"/>
              <w:insideV w:val="single" w:sz="10" w:space="0"/>
            </w:tcBorders>
            <w:vAlign w:val="center"/>
          </w:tcPr>
          <w:p w14:paraId="26269494">
            <w:pPr>
              <w:jc w:val="center"/>
            </w:pPr>
            <w:r>
              <w:rPr>
                <w:rFonts w:ascii="宋体" w:hAnsi="宋体" w:eastAsia="宋体"/>
                <w:sz w:val="16"/>
              </w:rPr>
              <w: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5A56B">
            <w:pPr>
              <w:jc w:val="center"/>
            </w:pPr>
            <w:r>
              <w:rPr>
                <w:rFonts w:ascii="宋体" w:hAnsi="宋体" w:eastAsia="宋体"/>
                <w:sz w:val="16"/>
              </w:rPr>
              <w:t>20</w:t>
            </w:r>
          </w:p>
        </w:tc>
      </w:tr>
    </w:tbl>
    <w:p w14:paraId="577EC17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D19189C">
        <w:tblPrEx>
          <w:tblCellMar>
            <w:top w:w="0" w:type="dxa"/>
            <w:left w:w="108" w:type="dxa"/>
            <w:bottom w:w="0" w:type="dxa"/>
            <w:right w:w="108" w:type="dxa"/>
          </w:tblCellMar>
        </w:tblPrEx>
        <w:tc>
          <w:tcPr>
            <w:tcW w:w="8847" w:type="dxa"/>
            <w:gridSpan w:val="9"/>
            <w:vAlign w:val="center"/>
          </w:tcPr>
          <w:p w14:paraId="04342C46">
            <w:pPr>
              <w:jc w:val="center"/>
            </w:pPr>
            <w:r>
              <w:rPr>
                <w:rFonts w:ascii="宋体" w:hAnsi="宋体" w:eastAsia="宋体"/>
                <w:sz w:val="24"/>
              </w:rPr>
              <w:t>项目支出绩效自评表</w:t>
            </w:r>
          </w:p>
        </w:tc>
      </w:tr>
      <w:tr w14:paraId="372F659B">
        <w:tblPrEx>
          <w:tblCellMar>
            <w:top w:w="0" w:type="dxa"/>
            <w:left w:w="108" w:type="dxa"/>
            <w:bottom w:w="0" w:type="dxa"/>
            <w:right w:w="108" w:type="dxa"/>
          </w:tblCellMar>
        </w:tblPrEx>
        <w:tc>
          <w:tcPr>
            <w:tcW w:w="8847" w:type="dxa"/>
            <w:gridSpan w:val="9"/>
            <w:vAlign w:val="center"/>
          </w:tcPr>
          <w:p w14:paraId="013988A3">
            <w:pPr>
              <w:jc w:val="center"/>
            </w:pPr>
            <w:r>
              <w:rPr>
                <w:rFonts w:ascii="宋体" w:hAnsi="宋体" w:eastAsia="宋体"/>
                <w:sz w:val="24"/>
              </w:rPr>
              <w:t>(2024年度)</w:t>
            </w:r>
          </w:p>
        </w:tc>
      </w:tr>
      <w:tr w14:paraId="0BB4D0C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48A59D">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DC88B73">
            <w:pPr>
              <w:jc w:val="center"/>
            </w:pPr>
            <w:r>
              <w:rPr>
                <w:rFonts w:ascii="宋体" w:hAnsi="宋体" w:eastAsia="宋体"/>
                <w:sz w:val="16"/>
              </w:rPr>
              <w:t>和田县2024年工作队为民办实事经费及第一书记经费</w:t>
            </w:r>
          </w:p>
        </w:tc>
      </w:tr>
      <w:tr w14:paraId="5B03EB4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23CC9E">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3A62F62">
            <w:pPr>
              <w:jc w:val="center"/>
            </w:pPr>
            <w:r>
              <w:rPr>
                <w:rFonts w:ascii="宋体" w:hAnsi="宋体" w:eastAsia="宋体"/>
                <w:sz w:val="16"/>
              </w:rPr>
              <w:t>中共和田县纪律检查委员会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F638F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FD3CA28">
            <w:pPr>
              <w:jc w:val="center"/>
            </w:pPr>
            <w:r>
              <w:rPr>
                <w:rFonts w:ascii="宋体" w:hAnsi="宋体" w:eastAsia="宋体"/>
                <w:sz w:val="16"/>
              </w:rPr>
              <w:t>中共和田县纪律检查委员会</w:t>
            </w:r>
          </w:p>
        </w:tc>
      </w:tr>
      <w:tr w14:paraId="6BD4776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7EED5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38A2A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CF3CF">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0D4A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7F54D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DF1AA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49D0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B3559">
            <w:pPr>
              <w:jc w:val="center"/>
            </w:pPr>
            <w:r>
              <w:rPr>
                <w:rFonts w:ascii="宋体" w:hAnsi="宋体" w:eastAsia="宋体"/>
                <w:sz w:val="16"/>
              </w:rPr>
              <w:t>得分</w:t>
            </w:r>
          </w:p>
        </w:tc>
      </w:tr>
      <w:tr w14:paraId="7C443F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3A239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A9ED86">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8614C4">
            <w:pPr>
              <w:jc w:val="center"/>
            </w:pPr>
            <w:r>
              <w:rPr>
                <w:rFonts w:ascii="宋体" w:hAnsi="宋体" w:eastAsia="宋体"/>
                <w:sz w:val="16"/>
              </w:rPr>
              <w:t>94.00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3CB38E">
            <w:pPr>
              <w:jc w:val="center"/>
            </w:pPr>
            <w:r>
              <w:rPr>
                <w:rFonts w:ascii="宋体" w:hAnsi="宋体" w:eastAsia="宋体"/>
                <w:sz w:val="16"/>
              </w:rPr>
              <w:t>94.00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DB029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373B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0BB15">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D0AD99">
            <w:pPr>
              <w:jc w:val="center"/>
            </w:pPr>
            <w:r>
              <w:rPr>
                <w:rFonts w:ascii="宋体" w:hAnsi="宋体" w:eastAsia="宋体"/>
                <w:sz w:val="16"/>
              </w:rPr>
              <w:t>0.00分</w:t>
            </w:r>
          </w:p>
        </w:tc>
      </w:tr>
      <w:tr w14:paraId="097087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5ACD2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7BA322">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04B3A">
            <w:pPr>
              <w:jc w:val="center"/>
            </w:pPr>
            <w:r>
              <w:rPr>
                <w:rFonts w:ascii="宋体" w:hAnsi="宋体" w:eastAsia="宋体"/>
                <w:sz w:val="16"/>
              </w:rPr>
              <w:t>94.00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038CB6">
            <w:pPr>
              <w:jc w:val="center"/>
            </w:pPr>
            <w:r>
              <w:rPr>
                <w:rFonts w:ascii="宋体" w:hAnsi="宋体" w:eastAsia="宋体"/>
                <w:sz w:val="16"/>
              </w:rPr>
              <w:t>94.00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88B40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8698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9632A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7DF4E3">
            <w:pPr>
              <w:jc w:val="center"/>
            </w:pPr>
            <w:r>
              <w:rPr>
                <w:rFonts w:ascii="宋体" w:hAnsi="宋体" w:eastAsia="宋体"/>
                <w:sz w:val="16"/>
              </w:rPr>
              <w:t>—</w:t>
            </w:r>
          </w:p>
        </w:tc>
      </w:tr>
      <w:tr w14:paraId="42BB4A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99DC3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CB6A08">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7A2A7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C09E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0F2E2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93C86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4D48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265E9E">
            <w:pPr>
              <w:jc w:val="center"/>
            </w:pPr>
            <w:r>
              <w:rPr>
                <w:rFonts w:ascii="宋体" w:hAnsi="宋体" w:eastAsia="宋体"/>
                <w:sz w:val="16"/>
              </w:rPr>
              <w:t>—</w:t>
            </w:r>
          </w:p>
        </w:tc>
      </w:tr>
      <w:tr w14:paraId="0D3218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12094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CB8BED">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F477C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D138E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23743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DB5DE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2348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A178C">
            <w:pPr>
              <w:jc w:val="center"/>
            </w:pPr>
            <w:r>
              <w:rPr>
                <w:rFonts w:ascii="宋体" w:hAnsi="宋体" w:eastAsia="宋体"/>
                <w:sz w:val="16"/>
              </w:rPr>
              <w:t>—</w:t>
            </w:r>
          </w:p>
        </w:tc>
      </w:tr>
      <w:tr w14:paraId="54A6A05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4E8110">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C4C3FC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44F1FFB">
            <w:pPr>
              <w:jc w:val="center"/>
            </w:pPr>
            <w:r>
              <w:rPr>
                <w:rFonts w:ascii="宋体" w:hAnsi="宋体" w:eastAsia="宋体"/>
                <w:sz w:val="16"/>
              </w:rPr>
              <w:t>实际完成情况</w:t>
            </w:r>
          </w:p>
        </w:tc>
      </w:tr>
      <w:tr w14:paraId="54486E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1C1A3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FA9255C">
            <w:pPr>
              <w:jc w:val="both"/>
            </w:pPr>
            <w:r>
              <w:rPr>
                <w:rFonts w:ascii="宋体" w:hAnsi="宋体" w:eastAsia="宋体"/>
                <w:sz w:val="16"/>
              </w:rPr>
              <w:t>目标1：该项目用于保障7个村为民办实事和第一书记工作经费。</w:t>
            </w:r>
            <w:r>
              <w:rPr>
                <w:rFonts w:ascii="宋体" w:hAnsi="宋体" w:eastAsia="宋体"/>
                <w:sz w:val="16"/>
              </w:rPr>
              <w:br w:type="textWrapping"/>
            </w:r>
            <w:r>
              <w:rPr>
                <w:rFonts w:ascii="宋体" w:hAnsi="宋体" w:eastAsia="宋体"/>
                <w:sz w:val="16"/>
              </w:rPr>
              <w:t>目标2：及时将党和政府的温暖送到各族群众的心坎上，为群众送信息、送服务、送温暖；帮助困难群众房屋修缮，村道、桥涵、引水渠维修，小磨坊、小作坊修缮，支持小型种植养殖、家庭旅游、农产品加工业发展，组织群众参观学习，开展就业创业技能培训，更新村（社区）“两委”办公设施，党内激励关怀帮扶。</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8767532">
            <w:pPr>
              <w:jc w:val="both"/>
            </w:pPr>
            <w:r>
              <w:rPr>
                <w:rFonts w:ascii="宋体" w:hAnsi="宋体" w:eastAsia="宋体"/>
                <w:sz w:val="16"/>
              </w:rPr>
              <w:t>本项目截止至2024年12月31日，已完成保障了7个村为民办实事和第一书记工作。及时将党和政府的温暖送到各族群众的心坎上，为群众送信息、送服务、送温暖；帮助困难群众房屋修缮，村道、桥涵、引水渠维修，小磨坊、小作坊修缮，支持小型种植养殖、家庭旅游、农产品加工业发展。</w:t>
            </w:r>
          </w:p>
        </w:tc>
      </w:tr>
      <w:tr w14:paraId="30E9F77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7C9F91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9675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6B81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12DB7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2F9F3B">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3BC986">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0996A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A16FA6">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99899D">
            <w:pPr>
              <w:jc w:val="center"/>
            </w:pPr>
            <w:r>
              <w:rPr>
                <w:rFonts w:ascii="宋体" w:hAnsi="宋体" w:eastAsia="宋体"/>
                <w:sz w:val="16"/>
              </w:rPr>
              <w:t>偏差原因分析及改进措施</w:t>
            </w:r>
          </w:p>
        </w:tc>
      </w:tr>
      <w:tr w14:paraId="1137ADF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8171D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01602A">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7C77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4476F1">
            <w:pPr>
              <w:jc w:val="center"/>
            </w:pPr>
            <w:r>
              <w:rPr>
                <w:rFonts w:ascii="宋体" w:hAnsi="宋体" w:eastAsia="宋体"/>
                <w:sz w:val="16"/>
              </w:rPr>
              <w:t>为民办实事惠及村个数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4CB4B0">
            <w:pPr>
              <w:jc w:val="center"/>
            </w:pPr>
            <w:r>
              <w:rPr>
                <w:rFonts w:ascii="宋体" w:hAnsi="宋体" w:eastAsia="宋体"/>
                <w:sz w:val="16"/>
              </w:rPr>
              <w:t>=7个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28ACE1">
            <w:pPr>
              <w:jc w:val="center"/>
            </w:pPr>
            <w:r>
              <w:rPr>
                <w:rFonts w:ascii="宋体" w:hAnsi="宋体" w:eastAsia="宋体"/>
                <w:sz w:val="16"/>
              </w:rPr>
              <w:t>=7个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0A103">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DBA0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0EE38E">
            <w:pPr>
              <w:jc w:val="center"/>
            </w:pPr>
          </w:p>
        </w:tc>
      </w:tr>
      <w:tr w14:paraId="5F91DF6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71E87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0EDDB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5773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5912F">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4ACB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B2EE6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8ECB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79D4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2BFE6">
            <w:pPr>
              <w:jc w:val="center"/>
            </w:pPr>
            <w:r>
              <w:rPr>
                <w:rFonts w:ascii="宋体" w:hAnsi="宋体" w:eastAsia="宋体"/>
                <w:sz w:val="16"/>
              </w:rPr>
              <w:t>偏差原因：2024年该资金未支付改进措施：抓紧时间督促各村上报材料，与财政及时沟通，尽快完成支付。</w:t>
            </w:r>
          </w:p>
        </w:tc>
      </w:tr>
      <w:tr w14:paraId="0045B59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D9193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EFD0D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C7007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17A469">
            <w:pPr>
              <w:jc w:val="center"/>
            </w:pPr>
            <w:r>
              <w:rPr>
                <w:rFonts w:ascii="宋体" w:hAnsi="宋体" w:eastAsia="宋体"/>
                <w:sz w:val="16"/>
              </w:rPr>
              <w:t>资金发放及时率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660C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CABCC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05588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6ED168">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247DDF">
            <w:pPr>
              <w:jc w:val="center"/>
            </w:pPr>
            <w:r>
              <w:rPr>
                <w:rFonts w:ascii="宋体" w:hAnsi="宋体" w:eastAsia="宋体"/>
                <w:sz w:val="16"/>
              </w:rPr>
              <w:t>偏差原因：2024年该资金未支付改进措施：抓紧时间督促各村上报材料，与财政及时沟通，尽快完成支付。</w:t>
            </w:r>
          </w:p>
        </w:tc>
      </w:tr>
      <w:tr w14:paraId="6F83B4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1522A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9AF72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4D4EF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5F457">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BDD3C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05C8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EA70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BBCA6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A5DF93">
            <w:pPr>
              <w:jc w:val="center"/>
            </w:pPr>
            <w:r>
              <w:rPr>
                <w:rFonts w:ascii="宋体" w:hAnsi="宋体" w:eastAsia="宋体"/>
                <w:sz w:val="16"/>
              </w:rPr>
              <w:t>偏差原因：2024年该资金未支付改进措施：抓紧时间督促各村上报材料，与财政及时沟通，尽快完成支付。</w:t>
            </w:r>
          </w:p>
        </w:tc>
      </w:tr>
      <w:tr w14:paraId="1F1976E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E26EC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96E5CA">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EAA62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BC8C6">
            <w:pPr>
              <w:jc w:val="center"/>
            </w:pPr>
            <w:r>
              <w:rPr>
                <w:rFonts w:ascii="宋体" w:hAnsi="宋体" w:eastAsia="宋体"/>
                <w:sz w:val="16"/>
              </w:rPr>
              <w:t>第一书记工作经费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EEED67">
            <w:pPr>
              <w:jc w:val="center"/>
            </w:pPr>
            <w:r>
              <w:rPr>
                <w:rFonts w:ascii="宋体" w:hAnsi="宋体" w:eastAsia="宋体"/>
                <w:sz w:val="16"/>
              </w:rPr>
              <w:t>&lt;=14万元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ADDF70">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A1E8EF">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74302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32C13">
            <w:pPr>
              <w:jc w:val="center"/>
            </w:pPr>
            <w:r>
              <w:rPr>
                <w:rFonts w:ascii="宋体" w:hAnsi="宋体" w:eastAsia="宋体"/>
                <w:sz w:val="16"/>
              </w:rPr>
              <w:t>偏差原因：2024年该资金未支付改进措施：抓紧时间督促各村上报材料，与财政及时沟通，尽快完成支付。</w:t>
            </w:r>
          </w:p>
        </w:tc>
      </w:tr>
      <w:tr w14:paraId="2466F06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F1820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6CB27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1156C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7305DE">
            <w:pPr>
              <w:jc w:val="center"/>
            </w:pPr>
            <w:r>
              <w:rPr>
                <w:rFonts w:ascii="宋体" w:hAnsi="宋体" w:eastAsia="宋体"/>
                <w:sz w:val="16"/>
              </w:rPr>
              <w:t>为民办实事工作费用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CDFCEE">
            <w:pPr>
              <w:jc w:val="center"/>
            </w:pPr>
            <w:r>
              <w:rPr>
                <w:rFonts w:ascii="宋体" w:hAnsi="宋体" w:eastAsia="宋体"/>
                <w:sz w:val="16"/>
              </w:rPr>
              <w:t>&lt;=80万元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0002B">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4C6E8F">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B56AC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62C95E">
            <w:pPr>
              <w:jc w:val="center"/>
            </w:pPr>
            <w:r>
              <w:rPr>
                <w:rFonts w:ascii="宋体" w:hAnsi="宋体" w:eastAsia="宋体"/>
                <w:sz w:val="16"/>
              </w:rPr>
              <w:t>偏差原因：2024年该资金未支付改进措施：抓紧时间督促各村上报材料，与财政及时沟通，尽快完成支付。</w:t>
            </w:r>
          </w:p>
        </w:tc>
      </w:tr>
      <w:tr w14:paraId="771AD3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93872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452208">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6DB02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DAA9F8">
            <w:pPr>
              <w:jc w:val="center"/>
            </w:pPr>
            <w:r>
              <w:rPr>
                <w:rFonts w:ascii="宋体" w:hAnsi="宋体" w:eastAsia="宋体"/>
                <w:sz w:val="16"/>
              </w:rPr>
              <w:t>及时将党和政府的温暖送到各族群众的心坎上</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FE650">
            <w:pPr>
              <w:jc w:val="center"/>
            </w:pPr>
            <w:r>
              <w:rPr>
                <w:rFonts w:ascii="宋体" w:hAnsi="宋体" w:eastAsia="宋体"/>
                <w:sz w:val="16"/>
              </w:rPr>
              <w:t>及时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D02426">
            <w:pPr>
              <w:jc w:val="center"/>
            </w:pPr>
            <w:r>
              <w:rPr>
                <w:rFonts w:ascii="宋体" w:hAnsi="宋体" w:eastAsia="宋体"/>
                <w:sz w:val="16"/>
              </w:rPr>
              <w:t>及时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01F3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26F63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48F27">
            <w:pPr>
              <w:jc w:val="center"/>
            </w:pPr>
          </w:p>
        </w:tc>
      </w:tr>
      <w:tr w14:paraId="3F5D1A6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CCDBE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8BF9F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698CF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18EEF">
            <w:pPr>
              <w:jc w:val="center"/>
            </w:pPr>
            <w:r>
              <w:rPr>
                <w:rFonts w:ascii="宋体" w:hAnsi="宋体" w:eastAsia="宋体"/>
                <w:sz w:val="16"/>
              </w:rPr>
              <w:t>受益村民满意度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19747C">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02C15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ABF5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7C186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2A7C2E">
            <w:pPr>
              <w:jc w:val="center"/>
            </w:pPr>
            <w:r>
              <w:rPr>
                <w:rFonts w:ascii="宋体" w:hAnsi="宋体" w:eastAsia="宋体"/>
                <w:sz w:val="16"/>
              </w:rPr>
              <w:t>偏差原因：满意度实际值超过预期导致出现正偏差</w:t>
            </w:r>
          </w:p>
        </w:tc>
      </w:tr>
      <w:tr w14:paraId="76F3CA9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3181B2">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C17360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E7055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9B3EA">
            <w:pPr>
              <w:jc w:val="center"/>
            </w:pPr>
            <w:r>
              <w:rPr>
                <w:rFonts w:ascii="宋体" w:hAnsi="宋体" w:eastAsia="宋体"/>
                <w:sz w:val="16"/>
              </w:rPr>
              <w:t>45分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2133169"/>
        </w:tc>
      </w:tr>
    </w:tbl>
    <w:p w14:paraId="03D8384D">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EE3D892">
        <w:tblPrEx>
          <w:tblCellMar>
            <w:top w:w="0" w:type="dxa"/>
            <w:left w:w="108" w:type="dxa"/>
            <w:bottom w:w="0" w:type="dxa"/>
            <w:right w:w="108" w:type="dxa"/>
          </w:tblCellMar>
        </w:tblPrEx>
        <w:tc>
          <w:tcPr>
            <w:tcW w:w="8847" w:type="dxa"/>
            <w:gridSpan w:val="9"/>
            <w:vAlign w:val="center"/>
          </w:tcPr>
          <w:p w14:paraId="277466D1">
            <w:pPr>
              <w:jc w:val="center"/>
            </w:pPr>
            <w:r>
              <w:rPr>
                <w:rFonts w:ascii="宋体" w:hAnsi="宋体" w:eastAsia="宋体"/>
                <w:sz w:val="24"/>
              </w:rPr>
              <w:t>项目支出绩效自评表</w:t>
            </w:r>
          </w:p>
        </w:tc>
      </w:tr>
      <w:tr w14:paraId="527E2305">
        <w:tblPrEx>
          <w:tblCellMar>
            <w:top w:w="0" w:type="dxa"/>
            <w:left w:w="108" w:type="dxa"/>
            <w:bottom w:w="0" w:type="dxa"/>
            <w:right w:w="108" w:type="dxa"/>
          </w:tblCellMar>
        </w:tblPrEx>
        <w:tc>
          <w:tcPr>
            <w:tcW w:w="8847" w:type="dxa"/>
            <w:gridSpan w:val="9"/>
            <w:vAlign w:val="center"/>
          </w:tcPr>
          <w:p w14:paraId="7F2090A4">
            <w:pPr>
              <w:jc w:val="center"/>
            </w:pPr>
            <w:r>
              <w:rPr>
                <w:rFonts w:ascii="宋体" w:hAnsi="宋体" w:eastAsia="宋体"/>
                <w:sz w:val="24"/>
              </w:rPr>
              <w:t>(2024年度)</w:t>
            </w:r>
          </w:p>
        </w:tc>
      </w:tr>
      <w:tr w14:paraId="6C0E5A6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87F390">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7D41D75">
            <w:pPr>
              <w:jc w:val="center"/>
            </w:pPr>
            <w:r>
              <w:rPr>
                <w:rFonts w:ascii="宋体" w:hAnsi="宋体" w:eastAsia="宋体"/>
                <w:sz w:val="16"/>
              </w:rPr>
              <w:t>和田县经济新区2022年公共服务用房建设项目</w:t>
            </w:r>
          </w:p>
        </w:tc>
      </w:tr>
      <w:tr w14:paraId="7EE71A7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2279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6E0FB0D">
            <w:pPr>
              <w:jc w:val="center"/>
            </w:pPr>
            <w:r>
              <w:rPr>
                <w:rFonts w:ascii="宋体" w:hAnsi="宋体" w:eastAsia="宋体"/>
                <w:sz w:val="16"/>
              </w:rPr>
              <w:t>中共和田县纪律检查委员会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F9A7CC">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9DA4F9B">
            <w:pPr>
              <w:jc w:val="center"/>
            </w:pPr>
            <w:r>
              <w:rPr>
                <w:rFonts w:ascii="宋体" w:hAnsi="宋体" w:eastAsia="宋体"/>
                <w:sz w:val="16"/>
              </w:rPr>
              <w:t>中共和田县纪律检查委员会</w:t>
            </w:r>
          </w:p>
        </w:tc>
      </w:tr>
      <w:tr w14:paraId="6B99B61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2D5928">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F3CE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68ADD">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2EAF6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1E59D">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732BD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2473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F60527">
            <w:pPr>
              <w:jc w:val="center"/>
            </w:pPr>
            <w:r>
              <w:rPr>
                <w:rFonts w:ascii="宋体" w:hAnsi="宋体" w:eastAsia="宋体"/>
                <w:sz w:val="16"/>
              </w:rPr>
              <w:t>得分</w:t>
            </w:r>
          </w:p>
        </w:tc>
      </w:tr>
      <w:tr w14:paraId="7DFB341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81019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31D0B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A07BDF">
            <w:pPr>
              <w:jc w:val="center"/>
            </w:pPr>
            <w:r>
              <w:rPr>
                <w:rFonts w:ascii="宋体" w:hAnsi="宋体" w:eastAsia="宋体"/>
                <w:sz w:val="16"/>
              </w:rPr>
              <w:t>44.62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C6E90">
            <w:pPr>
              <w:jc w:val="center"/>
            </w:pPr>
            <w:r>
              <w:rPr>
                <w:rFonts w:ascii="宋体" w:hAnsi="宋体" w:eastAsia="宋体"/>
                <w:sz w:val="16"/>
              </w:rPr>
              <w:t>44.62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BE7AB7">
            <w:pPr>
              <w:jc w:val="center"/>
            </w:pPr>
            <w:r>
              <w:rPr>
                <w:rFonts w:ascii="宋体" w:hAnsi="宋体" w:eastAsia="宋体"/>
                <w:sz w:val="16"/>
              </w:rPr>
              <w:t>44.62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CCD72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99EFEA">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ACAAD">
            <w:pPr>
              <w:jc w:val="center"/>
            </w:pPr>
            <w:r>
              <w:rPr>
                <w:rFonts w:ascii="宋体" w:hAnsi="宋体" w:eastAsia="宋体"/>
                <w:sz w:val="16"/>
              </w:rPr>
              <w:t>10.00分</w:t>
            </w:r>
          </w:p>
        </w:tc>
      </w:tr>
      <w:tr w14:paraId="0FB5D9C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448AF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ED70E7">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602A4">
            <w:pPr>
              <w:jc w:val="center"/>
            </w:pPr>
            <w:r>
              <w:rPr>
                <w:rFonts w:ascii="宋体" w:hAnsi="宋体" w:eastAsia="宋体"/>
                <w:sz w:val="16"/>
              </w:rPr>
              <w:t>44.62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9F0401">
            <w:pPr>
              <w:jc w:val="center"/>
            </w:pPr>
            <w:r>
              <w:rPr>
                <w:rFonts w:ascii="宋体" w:hAnsi="宋体" w:eastAsia="宋体"/>
                <w:sz w:val="16"/>
              </w:rPr>
              <w:t>44.62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5AAA34">
            <w:pPr>
              <w:jc w:val="center"/>
            </w:pPr>
            <w:r>
              <w:rPr>
                <w:rFonts w:ascii="宋体" w:hAnsi="宋体" w:eastAsia="宋体"/>
                <w:sz w:val="16"/>
              </w:rPr>
              <w:t>44.62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DEB9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D4074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6C92D">
            <w:pPr>
              <w:jc w:val="center"/>
            </w:pPr>
            <w:r>
              <w:rPr>
                <w:rFonts w:ascii="宋体" w:hAnsi="宋体" w:eastAsia="宋体"/>
                <w:sz w:val="16"/>
              </w:rPr>
              <w:t>—</w:t>
            </w:r>
          </w:p>
        </w:tc>
      </w:tr>
      <w:tr w14:paraId="18F62B2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A8325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6F915D">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242B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30E0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82021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A9175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1C6B4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534C63">
            <w:pPr>
              <w:jc w:val="center"/>
            </w:pPr>
            <w:r>
              <w:rPr>
                <w:rFonts w:ascii="宋体" w:hAnsi="宋体" w:eastAsia="宋体"/>
                <w:sz w:val="16"/>
              </w:rPr>
              <w:t>—</w:t>
            </w:r>
          </w:p>
        </w:tc>
      </w:tr>
      <w:tr w14:paraId="271C47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69AEE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B20F91">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5F659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39B1F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5494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31A7E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7B49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0AB50">
            <w:pPr>
              <w:jc w:val="center"/>
            </w:pPr>
            <w:r>
              <w:rPr>
                <w:rFonts w:ascii="宋体" w:hAnsi="宋体" w:eastAsia="宋体"/>
                <w:sz w:val="16"/>
              </w:rPr>
              <w:t>—</w:t>
            </w:r>
          </w:p>
        </w:tc>
      </w:tr>
      <w:tr w14:paraId="1E11766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E88A8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B06515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E9C82A6">
            <w:pPr>
              <w:jc w:val="center"/>
            </w:pPr>
            <w:r>
              <w:rPr>
                <w:rFonts w:ascii="宋体" w:hAnsi="宋体" w:eastAsia="宋体"/>
                <w:sz w:val="16"/>
              </w:rPr>
              <w:t>实际完成情况</w:t>
            </w:r>
          </w:p>
        </w:tc>
      </w:tr>
      <w:tr w14:paraId="5D05A65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62C9B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F0B9280">
            <w:pPr>
              <w:jc w:val="both"/>
            </w:pPr>
            <w:r>
              <w:rPr>
                <w:rFonts w:ascii="宋体" w:hAnsi="宋体" w:eastAsia="宋体"/>
                <w:sz w:val="16"/>
              </w:rPr>
              <w:t>目标1：该项目用于支付和田县经济新区2022年公共服务用房建设项目剩余未支付资金。</w:t>
            </w:r>
            <w:r>
              <w:rPr>
                <w:rFonts w:ascii="宋体" w:hAnsi="宋体" w:eastAsia="宋体"/>
                <w:sz w:val="16"/>
              </w:rPr>
              <w:br w:type="textWrapping"/>
            </w:r>
            <w:r>
              <w:rPr>
                <w:rFonts w:ascii="宋体" w:hAnsi="宋体" w:eastAsia="宋体"/>
                <w:sz w:val="16"/>
              </w:rPr>
              <w:t>目标2：项目实施后可以提高政府公信力，提高施工单位的生活质量。</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05EFB9A">
            <w:pPr>
              <w:jc w:val="both"/>
            </w:pPr>
            <w:r>
              <w:rPr>
                <w:rFonts w:ascii="宋体" w:hAnsi="宋体" w:eastAsia="宋体"/>
                <w:sz w:val="16"/>
              </w:rPr>
              <w:t>本项目截止至2024年12月31日，已完成用于支付和田县经济新区2022年公共服务用房建设项目剩余未支付资金。 项目实施提高了政府公信力，提高施工单位的生活质量。</w:t>
            </w:r>
          </w:p>
        </w:tc>
      </w:tr>
      <w:tr w14:paraId="61809CF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960D42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DB643">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3626C">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FA423">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3AC36E">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B0C653">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8A68A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C7E74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161A51">
            <w:pPr>
              <w:jc w:val="center"/>
            </w:pPr>
            <w:r>
              <w:rPr>
                <w:rFonts w:ascii="宋体" w:hAnsi="宋体" w:eastAsia="宋体"/>
                <w:sz w:val="16"/>
              </w:rPr>
              <w:t>偏差原因分析及改进措施</w:t>
            </w:r>
          </w:p>
        </w:tc>
      </w:tr>
      <w:tr w14:paraId="5C12111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19B4E8">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EBEC29">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80F9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92DC9">
            <w:pPr>
              <w:jc w:val="center"/>
            </w:pPr>
            <w:r>
              <w:rPr>
                <w:rFonts w:ascii="宋体" w:hAnsi="宋体" w:eastAsia="宋体"/>
                <w:sz w:val="16"/>
              </w:rPr>
              <w:t>支付项目个数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546DEB">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F459F">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3681AF">
            <w:pPr>
              <w:jc w:val="center"/>
            </w:pPr>
            <w:r>
              <w:rPr>
                <w:rFonts w:ascii="宋体" w:hAnsi="宋体" w:eastAsia="宋体"/>
                <w:sz w:val="16"/>
              </w:rPr>
              <w:t>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1C94B4">
            <w:pPr>
              <w:jc w:val="center"/>
            </w:pPr>
            <w:r>
              <w:rPr>
                <w:rFonts w:ascii="宋体" w:hAnsi="宋体" w:eastAsia="宋体"/>
                <w:sz w:val="16"/>
              </w:rPr>
              <w:t>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9D465">
            <w:pPr>
              <w:jc w:val="center"/>
            </w:pPr>
          </w:p>
        </w:tc>
      </w:tr>
      <w:tr w14:paraId="5FAC43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1D22C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463A7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982B3">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6897B8">
            <w:pPr>
              <w:jc w:val="center"/>
            </w:pPr>
            <w:r>
              <w:rPr>
                <w:rFonts w:ascii="宋体" w:hAnsi="宋体" w:eastAsia="宋体"/>
                <w:sz w:val="16"/>
              </w:rPr>
              <w:t>资金使用合规率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9B804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C2EA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D181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BA5E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E53456">
            <w:pPr>
              <w:jc w:val="center"/>
            </w:pPr>
          </w:p>
        </w:tc>
      </w:tr>
      <w:tr w14:paraId="45AE7F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9DF51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B4FD2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0D7A1EB">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3355E">
            <w:pPr>
              <w:jc w:val="center"/>
            </w:pPr>
            <w:r>
              <w:rPr>
                <w:rFonts w:ascii="宋体" w:hAnsi="宋体" w:eastAsia="宋体"/>
                <w:sz w:val="16"/>
              </w:rPr>
              <w:t>资金拨付及时率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3A147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C6AC7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3E27A6">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F05CA">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BBA49A">
            <w:pPr>
              <w:jc w:val="center"/>
            </w:pPr>
          </w:p>
        </w:tc>
      </w:tr>
      <w:tr w14:paraId="510ED95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6E1A0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4F0D0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8C29E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F8F96B">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03D3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29DF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7294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9B49A2">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61802A">
            <w:pPr>
              <w:jc w:val="center"/>
            </w:pPr>
          </w:p>
        </w:tc>
      </w:tr>
      <w:tr w14:paraId="3E56B93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37BD4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20E44">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57BCBB">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A95B9D">
            <w:pPr>
              <w:jc w:val="center"/>
            </w:pPr>
            <w:r>
              <w:rPr>
                <w:rFonts w:ascii="宋体" w:hAnsi="宋体" w:eastAsia="宋体"/>
                <w:sz w:val="16"/>
              </w:rPr>
              <w:t>项目支出费用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706693">
            <w:pPr>
              <w:jc w:val="center"/>
            </w:pPr>
            <w:r>
              <w:rPr>
                <w:rFonts w:ascii="宋体" w:hAnsi="宋体" w:eastAsia="宋体"/>
                <w:sz w:val="16"/>
              </w:rPr>
              <w:t>&lt;=44.62万元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DB4548">
            <w:pPr>
              <w:jc w:val="center"/>
            </w:pPr>
            <w:r>
              <w:rPr>
                <w:rFonts w:ascii="宋体" w:hAnsi="宋体" w:eastAsia="宋体"/>
                <w:sz w:val="16"/>
              </w:rPr>
              <w:t>=44.62万元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B5100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EF9E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D1B207">
            <w:pPr>
              <w:jc w:val="center"/>
            </w:pPr>
          </w:p>
        </w:tc>
      </w:tr>
      <w:tr w14:paraId="0A588D1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BABB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A00F20">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85F3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ED177">
            <w:pPr>
              <w:jc w:val="center"/>
            </w:pPr>
            <w:r>
              <w:rPr>
                <w:rFonts w:ascii="宋体" w:hAnsi="宋体" w:eastAsia="宋体"/>
                <w:sz w:val="16"/>
              </w:rPr>
              <w:t>提高政府公信力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0D2323">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A9023">
            <w:pPr>
              <w:jc w:val="center"/>
            </w:pPr>
            <w:r>
              <w:rPr>
                <w:rFonts w:ascii="宋体" w:hAnsi="宋体" w:eastAsia="宋体"/>
                <w:sz w:val="16"/>
              </w:rPr>
              <w:tab/>
            </w: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B9917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A9402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6DB4C">
            <w:pPr>
              <w:jc w:val="center"/>
            </w:pPr>
          </w:p>
        </w:tc>
      </w:tr>
      <w:tr w14:paraId="0C61DBC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FAE39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B3BCB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B90E3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A46A25">
            <w:pPr>
              <w:jc w:val="center"/>
            </w:pPr>
            <w:r>
              <w:rPr>
                <w:rFonts w:ascii="宋体" w:hAnsi="宋体" w:eastAsia="宋体"/>
                <w:sz w:val="16"/>
              </w:rPr>
              <w:t>受益群众满意度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13DF22">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73B0A">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859A8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27BAC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84CF78">
            <w:pPr>
              <w:jc w:val="center"/>
            </w:pPr>
          </w:p>
        </w:tc>
      </w:tr>
      <w:tr w14:paraId="0DA13433">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DC516B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A392DA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2993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C9724">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623E107"/>
        </w:tc>
      </w:tr>
    </w:tbl>
    <w:p w14:paraId="60916D2F">
      <w:r>
        <w:br w:type="page"/>
      </w:r>
    </w:p>
    <w:p w14:paraId="7F769B4E">
      <w:pPr>
        <w:spacing w:line="640" w:lineRule="exact"/>
        <w:ind w:firstLine="640"/>
        <w:jc w:val="both"/>
        <w:outlineLvl w:val="2"/>
      </w:pPr>
      <w:r>
        <w:rPr>
          <w:rFonts w:ascii="黑体" w:hAnsi="黑体" w:eastAsia="黑体"/>
          <w:sz w:val="32"/>
        </w:rPr>
        <w:t>十二、其他需说明的事项</w:t>
      </w:r>
    </w:p>
    <w:p w14:paraId="539A97C8">
      <w:pPr>
        <w:spacing w:line="580" w:lineRule="exact"/>
        <w:ind w:firstLine="640"/>
        <w:jc w:val="both"/>
      </w:pPr>
      <w:r>
        <w:rPr>
          <w:rFonts w:ascii="仿宋_GB2312" w:hAnsi="仿宋_GB2312" w:eastAsia="仿宋_GB2312"/>
          <w:b w:val="0"/>
          <w:sz w:val="32"/>
        </w:rPr>
        <w:t>本单位无其他需说明的事项。</w:t>
      </w:r>
    </w:p>
    <w:p w14:paraId="287469D7">
      <w:r>
        <w:br w:type="page"/>
      </w:r>
    </w:p>
    <w:p w14:paraId="01B57F1E">
      <w:pPr>
        <w:spacing w:line="240" w:lineRule="auto"/>
        <w:jc w:val="center"/>
        <w:outlineLvl w:val="1"/>
      </w:pPr>
      <w:r>
        <w:rPr>
          <w:rFonts w:ascii="黑体" w:hAnsi="黑体" w:eastAsia="黑体"/>
          <w:sz w:val="32"/>
        </w:rPr>
        <w:t>第三部分 专业名词解释</w:t>
      </w:r>
    </w:p>
    <w:p w14:paraId="11FD51D6">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1DD05A20">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53AE78B1">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61444022">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406BD8BA">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5C459B20">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33449158">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41BC2D4F">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32FE00A">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28C2D9B">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6617F4BD">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0CB0D763">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CC70398">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3DF00A80">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300AC2E2">
      <w:r>
        <w:br w:type="page"/>
      </w:r>
    </w:p>
    <w:p w14:paraId="62C714A8">
      <w:pPr>
        <w:spacing w:line="240" w:lineRule="auto"/>
        <w:jc w:val="center"/>
        <w:outlineLvl w:val="1"/>
      </w:pPr>
      <w:r>
        <w:rPr>
          <w:rFonts w:ascii="黑体" w:hAnsi="黑体" w:eastAsia="黑体"/>
          <w:sz w:val="32"/>
        </w:rPr>
        <w:t>第四部分 部门决算报表（见附表）</w:t>
      </w:r>
    </w:p>
    <w:p w14:paraId="3A38F1FD">
      <w:pPr>
        <w:spacing w:line="240" w:lineRule="auto"/>
        <w:ind w:firstLine="640"/>
        <w:jc w:val="both"/>
      </w:pPr>
      <w:r>
        <w:rPr>
          <w:rFonts w:ascii="仿宋_GB2312" w:hAnsi="仿宋_GB2312" w:eastAsia="仿宋_GB2312"/>
          <w:b w:val="0"/>
          <w:sz w:val="32"/>
        </w:rPr>
        <w:t>一、《收入支出决算总表》</w:t>
      </w:r>
    </w:p>
    <w:p w14:paraId="6A3BD1B0">
      <w:pPr>
        <w:spacing w:line="240" w:lineRule="auto"/>
        <w:ind w:firstLine="640"/>
        <w:jc w:val="both"/>
      </w:pPr>
      <w:r>
        <w:rPr>
          <w:rFonts w:ascii="仿宋_GB2312" w:hAnsi="仿宋_GB2312" w:eastAsia="仿宋_GB2312"/>
          <w:b w:val="0"/>
          <w:sz w:val="32"/>
        </w:rPr>
        <w:t>二、《收入决算表》</w:t>
      </w:r>
    </w:p>
    <w:p w14:paraId="41FC51AF">
      <w:pPr>
        <w:spacing w:line="240" w:lineRule="auto"/>
        <w:ind w:firstLine="640"/>
        <w:jc w:val="both"/>
      </w:pPr>
      <w:r>
        <w:rPr>
          <w:rFonts w:ascii="仿宋_GB2312" w:hAnsi="仿宋_GB2312" w:eastAsia="仿宋_GB2312"/>
          <w:b w:val="0"/>
          <w:sz w:val="32"/>
        </w:rPr>
        <w:t>三、《支出决算表》</w:t>
      </w:r>
    </w:p>
    <w:p w14:paraId="34387433">
      <w:pPr>
        <w:spacing w:line="240" w:lineRule="auto"/>
        <w:ind w:firstLine="640"/>
        <w:jc w:val="both"/>
      </w:pPr>
      <w:r>
        <w:rPr>
          <w:rFonts w:ascii="仿宋_GB2312" w:hAnsi="仿宋_GB2312" w:eastAsia="仿宋_GB2312"/>
          <w:b w:val="0"/>
          <w:sz w:val="32"/>
        </w:rPr>
        <w:t>四、《财政拨款收入支出决算总表》</w:t>
      </w:r>
    </w:p>
    <w:p w14:paraId="671770BB">
      <w:pPr>
        <w:spacing w:line="240" w:lineRule="auto"/>
        <w:ind w:firstLine="640"/>
        <w:jc w:val="both"/>
      </w:pPr>
      <w:r>
        <w:rPr>
          <w:rFonts w:ascii="仿宋_GB2312" w:hAnsi="仿宋_GB2312" w:eastAsia="仿宋_GB2312"/>
          <w:b w:val="0"/>
          <w:sz w:val="32"/>
        </w:rPr>
        <w:t>五、《一般公共预算财政拨款支出决算表》</w:t>
      </w:r>
    </w:p>
    <w:p w14:paraId="0AC802D7">
      <w:pPr>
        <w:spacing w:line="240" w:lineRule="auto"/>
        <w:ind w:firstLine="640"/>
        <w:jc w:val="both"/>
      </w:pPr>
      <w:r>
        <w:rPr>
          <w:rFonts w:ascii="仿宋_GB2312" w:hAnsi="仿宋_GB2312" w:eastAsia="仿宋_GB2312"/>
          <w:b w:val="0"/>
          <w:sz w:val="32"/>
        </w:rPr>
        <w:t>六、《一般公共预算财政拨款基本支出决算表》</w:t>
      </w:r>
    </w:p>
    <w:p w14:paraId="3DF21E55">
      <w:pPr>
        <w:spacing w:line="240" w:lineRule="auto"/>
        <w:ind w:firstLine="640"/>
        <w:jc w:val="both"/>
      </w:pPr>
      <w:r>
        <w:rPr>
          <w:rFonts w:ascii="仿宋_GB2312" w:hAnsi="仿宋_GB2312" w:eastAsia="仿宋_GB2312"/>
          <w:b w:val="0"/>
          <w:sz w:val="32"/>
        </w:rPr>
        <w:t>七、《政府性基金预算财政拨款收入支出决算表》</w:t>
      </w:r>
    </w:p>
    <w:p w14:paraId="534FDAD0">
      <w:pPr>
        <w:spacing w:line="240" w:lineRule="auto"/>
        <w:ind w:firstLine="640"/>
        <w:jc w:val="both"/>
      </w:pPr>
      <w:r>
        <w:rPr>
          <w:rFonts w:ascii="仿宋_GB2312" w:hAnsi="仿宋_GB2312" w:eastAsia="仿宋_GB2312"/>
          <w:b w:val="0"/>
          <w:sz w:val="32"/>
        </w:rPr>
        <w:t>八、《国有资本经营预算财政拨款收入支出决算表》</w:t>
      </w:r>
    </w:p>
    <w:p w14:paraId="5E077146">
      <w:pPr>
        <w:spacing w:line="240" w:lineRule="auto"/>
        <w:ind w:firstLine="640"/>
        <w:jc w:val="both"/>
      </w:pPr>
      <w:r>
        <w:rPr>
          <w:rFonts w:ascii="仿宋_GB2312" w:hAnsi="仿宋_GB2312" w:eastAsia="仿宋_GB2312"/>
          <w:b w:val="0"/>
          <w:sz w:val="32"/>
        </w:rPr>
        <w:t>九、《财政拨款“三公”经费支出决算表》</w:t>
      </w:r>
    </w:p>
    <w:p w14:paraId="11869485">
      <w:pPr>
        <w:spacing w:line="240" w:lineRule="auto"/>
        <w:ind w:firstLine="640"/>
        <w:jc w:val="both"/>
      </w:pPr>
    </w:p>
    <w:p w14:paraId="728278C8">
      <w:pPr>
        <w:spacing w:line="240" w:lineRule="auto"/>
        <w:ind w:firstLine="640"/>
        <w:jc w:val="both"/>
      </w:pPr>
    </w:p>
    <w:p w14:paraId="0FDC68A9">
      <w:pPr>
        <w:spacing w:line="240" w:lineRule="auto"/>
        <w:ind w:firstLine="640"/>
        <w:jc w:val="both"/>
      </w:pPr>
    </w:p>
    <w:p w14:paraId="42823054">
      <w:pPr>
        <w:spacing w:line="240" w:lineRule="auto"/>
        <w:ind w:firstLine="640"/>
        <w:jc w:val="both"/>
      </w:pPr>
    </w:p>
    <w:p w14:paraId="6DB9FF68">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5F0616-1B4A-4985-A00D-496A755457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17E0284A-E8F5-47BB-860C-2B3289477274}"/>
  </w:font>
  <w:font w:name="仿宋_GB2312">
    <w:panose1 w:val="02010609030101010101"/>
    <w:charset w:val="86"/>
    <w:family w:val="modern"/>
    <w:pitch w:val="default"/>
    <w:sig w:usb0="00000001" w:usb1="080E0000" w:usb2="00000000" w:usb3="00000000" w:csb0="00040000" w:csb1="00000000"/>
    <w:embedRegular r:id="rId3" w:fontKey="{50A5CB2F-007E-48DF-8021-3BFDE7D20CC3}"/>
  </w:font>
  <w:font w:name="楷体_GB2312">
    <w:panose1 w:val="02010609030101010101"/>
    <w:charset w:val="86"/>
    <w:family w:val="auto"/>
    <w:pitch w:val="default"/>
    <w:sig w:usb0="00000001" w:usb1="080E0000" w:usb2="00000000" w:usb3="00000000" w:csb0="00040000" w:csb1="00000000"/>
    <w:embedRegular r:id="rId4" w:fontKey="{EFE1E91A-4DE7-4BCA-A8CA-C2B2379F74F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6C273A6"/>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92E6CE1"/>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6641</Words>
  <Characters>7506</Characters>
  <Lines>0</Lines>
  <Paragraphs>0</Paragraphs>
  <TotalTime>5</TotalTime>
  <ScaleCrop>false</ScaleCrop>
  <LinksUpToDate>false</LinksUpToDate>
  <CharactersWithSpaces>7514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2025-09-04T10:49:25Z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