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和田县应急管理局2024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6058D904">
      <w:r>
        <w:br w:type="page"/>
      </w:r>
    </w:p>
    <w:p w14:paraId="6BFB0B2F">
      <w:pPr>
        <w:spacing w:line="640" w:lineRule="exact"/>
        <w:jc w:val="center"/>
        <w:outlineLvl w:val="1"/>
      </w:pPr>
      <w:r>
        <w:rPr>
          <w:rFonts w:ascii="黑体" w:hAnsi="黑体" w:eastAsia="黑体"/>
          <w:sz w:val="32"/>
        </w:rPr>
        <w:t>第一部分 单位概况</w:t>
      </w:r>
    </w:p>
    <w:p w14:paraId="563682C7">
      <w:pPr>
        <w:spacing w:line="640" w:lineRule="exact"/>
        <w:ind w:firstLine="640"/>
        <w:jc w:val="both"/>
        <w:outlineLvl w:val="2"/>
      </w:pPr>
      <w:r>
        <w:rPr>
          <w:rFonts w:ascii="黑体" w:hAnsi="黑体" w:eastAsia="黑体"/>
          <w:sz w:val="32"/>
        </w:rPr>
        <w:t>一、主要职能</w:t>
      </w:r>
    </w:p>
    <w:p w14:paraId="3E9A615D">
      <w:pPr>
        <w:spacing w:line="580" w:lineRule="exact"/>
        <w:ind w:firstLine="640"/>
        <w:jc w:val="both"/>
      </w:pPr>
      <w:r>
        <w:rPr>
          <w:rFonts w:ascii="仿宋_GB2312" w:hAnsi="仿宋_GB2312" w:eastAsia="仿宋_GB2312"/>
          <w:sz w:val="32"/>
        </w:rPr>
        <w:t>(一)负责应急管理工作，指导各乡镇、各部门应对安全生产类、自然灾害类突发事件和综合防灾减灾救灾工作。负责安全生产综合监督管理和工矿商贸有关行业领域安全生产监督管理工作。</w:t>
      </w:r>
    </w:p>
    <w:p w14:paraId="65F0F83C">
      <w:pPr>
        <w:spacing w:line="580" w:lineRule="exact"/>
        <w:ind w:firstLine="640"/>
        <w:jc w:val="both"/>
      </w:pPr>
      <w:r>
        <w:rPr>
          <w:rFonts w:ascii="仿宋_GB2312" w:hAnsi="仿宋_GB2312" w:eastAsia="仿宋_GB2312"/>
          <w:sz w:val="32"/>
        </w:rPr>
        <w:t>(二)组织编制应急体系建设、安全生产和综合防灾减灾规划，起草并组织制定应急管理、安全生产类综合性规范性文件并监督实施。</w:t>
      </w:r>
    </w:p>
    <w:p w14:paraId="32D390FA">
      <w:pPr>
        <w:spacing w:line="580" w:lineRule="exact"/>
        <w:ind w:firstLine="640"/>
        <w:jc w:val="both"/>
      </w:pPr>
      <w:r>
        <w:rPr>
          <w:rFonts w:ascii="仿宋_GB2312" w:hAnsi="仿宋_GB2312" w:eastAsia="仿宋_GB2312"/>
          <w:sz w:val="32"/>
        </w:rPr>
        <w:t>(三)负责安全生产类、自然灾害类应急预案体系建设，建立完善事故灾害和自然灾害分级应对制度，组织编制全县总体应急预案和安全生产类、自然灾害类专项预案，综合协调应急预案衔接工作，组织开展预案演练，推动应急避难设施建设。</w:t>
      </w:r>
    </w:p>
    <w:p w14:paraId="16C4B2FD">
      <w:pPr>
        <w:spacing w:line="580" w:lineRule="exact"/>
        <w:ind w:firstLine="640"/>
        <w:jc w:val="both"/>
      </w:pPr>
      <w:r>
        <w:rPr>
          <w:rFonts w:ascii="仿宋_GB2312" w:hAnsi="仿宋_GB2312" w:eastAsia="仿宋_GB2312"/>
          <w:sz w:val="32"/>
        </w:rPr>
        <w:t>(四)牵头建立统一的应急管理信息系统，负责编制和落实信息传输渠道规划和布局。建立监测预警和灾情报告制度。健全自然灾害信息资源获取和共享机制，依法统一发布灾情。</w:t>
      </w:r>
    </w:p>
    <w:p w14:paraId="700A197A">
      <w:pPr>
        <w:spacing w:line="580" w:lineRule="exact"/>
        <w:ind w:firstLine="640"/>
        <w:jc w:val="both"/>
      </w:pPr>
      <w:r>
        <w:rPr>
          <w:rFonts w:ascii="仿宋_GB2312" w:hAnsi="仿宋_GB2312" w:eastAsia="仿宋_GB2312"/>
          <w:sz w:val="32"/>
        </w:rPr>
        <w:t>(五)组织指导协调安全生产类、自然灾害类突发事件应急救援，承担全县应对重大灾害指挥部工作，综合研判突发事件发展态势并提出应对建议，协助县委、县政府指定的负责同志组织重大灾害应急处置工作。</w:t>
      </w:r>
    </w:p>
    <w:p w14:paraId="20418769">
      <w:pPr>
        <w:spacing w:line="580" w:lineRule="exact"/>
        <w:ind w:firstLine="640"/>
        <w:jc w:val="both"/>
      </w:pPr>
      <w:r>
        <w:rPr>
          <w:rFonts w:ascii="仿宋_GB2312" w:hAnsi="仿宋_GB2312" w:eastAsia="仿宋_GB2312"/>
          <w:sz w:val="32"/>
        </w:rPr>
        <w:t>(六)统一协调指挥各类应急专业队伍，建立应急协调联动机制，推进应急指挥平台对接，衔接解放军和</w:t>
      </w:r>
      <w:bookmarkStart w:id="0" w:name="_GoBack"/>
      <w:r>
        <w:rPr>
          <w:rFonts w:ascii="仿宋_GB2312" w:hAnsi="仿宋_GB2312" w:eastAsia="仿宋_GB2312"/>
          <w:sz w:val="32"/>
        </w:rPr>
        <w:t>武警</w:t>
      </w:r>
      <w:bookmarkEnd w:id="0"/>
      <w:r>
        <w:rPr>
          <w:rFonts w:ascii="仿宋_GB2312" w:hAnsi="仿宋_GB2312" w:eastAsia="仿宋_GB2312"/>
          <w:sz w:val="32"/>
        </w:rPr>
        <w:t>部队参与应急救援工作。</w:t>
      </w:r>
    </w:p>
    <w:p w14:paraId="4EC9D56B">
      <w:pPr>
        <w:spacing w:line="580" w:lineRule="exact"/>
        <w:ind w:firstLine="640"/>
        <w:jc w:val="both"/>
      </w:pPr>
      <w:r>
        <w:rPr>
          <w:rFonts w:ascii="仿宋_GB2312" w:hAnsi="仿宋_GB2312" w:eastAsia="仿宋_GB2312"/>
          <w:sz w:val="32"/>
        </w:rPr>
        <w:t>(七)统筹应急救援力量建设，负责消防、森林和草原火灾扑救、抗洪抢险、地震和地质灾害救援、生产安全事故救援专业应急救援力量建设，管理指挥全县综合性应急救援队伍，指导各乡镇及社会应急救援力量建设。</w:t>
      </w:r>
    </w:p>
    <w:p w14:paraId="7DC4F169">
      <w:pPr>
        <w:spacing w:line="580" w:lineRule="exact"/>
        <w:ind w:firstLine="640"/>
        <w:jc w:val="both"/>
      </w:pPr>
      <w:r>
        <w:rPr>
          <w:rFonts w:ascii="仿宋_GB2312" w:hAnsi="仿宋_GB2312" w:eastAsia="仿宋_GB2312"/>
          <w:sz w:val="32"/>
        </w:rPr>
        <w:t>(八)负责消防管理工作，指导消防监督、火灾预防、火灾扑救等工作。</w:t>
      </w:r>
    </w:p>
    <w:p w14:paraId="2D9EC759">
      <w:pPr>
        <w:spacing w:line="580" w:lineRule="exact"/>
        <w:ind w:firstLine="640"/>
        <w:jc w:val="both"/>
      </w:pPr>
      <w:r>
        <w:rPr>
          <w:rFonts w:ascii="仿宋_GB2312" w:hAnsi="仿宋_GB2312" w:eastAsia="仿宋_GB2312"/>
          <w:sz w:val="32"/>
        </w:rPr>
        <w:t>(九)指导协调森林和草原火灾、水旱灾害、地震和地质灾害防治工作，负责自然灾害综合监测预警工作，指导开展自然灾害综合风险评估工作。</w:t>
      </w:r>
    </w:p>
    <w:p w14:paraId="030DF151">
      <w:pPr>
        <w:spacing w:line="580" w:lineRule="exact"/>
        <w:ind w:firstLine="640"/>
        <w:jc w:val="both"/>
      </w:pPr>
      <w:r>
        <w:rPr>
          <w:rFonts w:ascii="仿宋_GB2312" w:hAnsi="仿宋_GB2312" w:eastAsia="仿宋_GB2312"/>
          <w:sz w:val="32"/>
        </w:rPr>
        <w:t>(十)组织协调灾害救助工作，组织指导灾情核查、损失评估、救灾捐赠工作，管理、分配中央、自治区、地区和政府救灾款物并监督使用。</w:t>
      </w:r>
    </w:p>
    <w:p w14:paraId="3F5AE31C">
      <w:pPr>
        <w:spacing w:line="580" w:lineRule="exact"/>
        <w:ind w:firstLine="640"/>
        <w:jc w:val="both"/>
      </w:pPr>
      <w:r>
        <w:rPr>
          <w:rFonts w:ascii="仿宋_GB2312" w:hAnsi="仿宋_GB2312" w:eastAsia="仿宋_GB2312"/>
          <w:sz w:val="32"/>
        </w:rPr>
        <w:t>(十一)依法行使安全生产综合监督管理职权，指导协调、监督检查各乡镇、各部门安全生产工作，组织开展安全生产检查、考核工作。</w:t>
      </w:r>
    </w:p>
    <w:p w14:paraId="6711CF3F">
      <w:pPr>
        <w:spacing w:line="580" w:lineRule="exact"/>
        <w:ind w:firstLine="640"/>
        <w:jc w:val="both"/>
      </w:pPr>
      <w:r>
        <w:rPr>
          <w:rFonts w:ascii="仿宋_GB2312" w:hAnsi="仿宋_GB2312" w:eastAsia="仿宋_GB2312"/>
          <w:sz w:val="32"/>
        </w:rPr>
        <w:t>(十二)按照分级、属地原则，依法监督检查工矿商贸(煤矿除外)生产经营单位贯彻执行安全生产法律法规情况及其安全生产条件和有关设备(特种设备除外)、材料、劳动防护用品的安全生产管理工作。负责监督管理工矿商贸行业安全生产工作。依法组织并指导监督实施安全生产准入制度。负责危险化学品安全监督管理综合工作和烟花爆竹安全生产监督管理工作。</w:t>
      </w:r>
    </w:p>
    <w:p w14:paraId="301BF410">
      <w:pPr>
        <w:spacing w:line="580" w:lineRule="exact"/>
        <w:ind w:firstLine="640"/>
        <w:jc w:val="both"/>
      </w:pPr>
      <w:r>
        <w:rPr>
          <w:rFonts w:ascii="仿宋_GB2312" w:hAnsi="仿宋_GB2312" w:eastAsia="仿宋_GB2312"/>
          <w:sz w:val="32"/>
        </w:rPr>
        <w:t>(十三)依法组织指导生产安全事故调查处理，监督事故查处和责任追究落实情况。组织开展自然灾害类突发事件的调查评估工作。</w:t>
      </w:r>
    </w:p>
    <w:p w14:paraId="05A789D0">
      <w:pPr>
        <w:spacing w:line="580" w:lineRule="exact"/>
        <w:ind w:firstLine="640"/>
        <w:jc w:val="both"/>
      </w:pPr>
      <w:r>
        <w:rPr>
          <w:rFonts w:ascii="仿宋_GB2312" w:hAnsi="仿宋_GB2312" w:eastAsia="仿宋_GB2312"/>
          <w:sz w:val="32"/>
        </w:rPr>
        <w:t>(十四)制定应急物资储备和应急救援装备规划并组织实施，会同县粮食和物资储备局等部门建立健全应急物资信息平台和调拨制度，在救灾时统一调度。</w:t>
      </w:r>
    </w:p>
    <w:p w14:paraId="2473BECA">
      <w:pPr>
        <w:spacing w:line="580" w:lineRule="exact"/>
        <w:ind w:firstLine="640"/>
        <w:jc w:val="both"/>
      </w:pPr>
      <w:r>
        <w:rPr>
          <w:rFonts w:ascii="仿宋_GB2312" w:hAnsi="仿宋_GB2312" w:eastAsia="仿宋_GB2312"/>
          <w:sz w:val="32"/>
        </w:rPr>
        <w:t>(十五)负责应急管理、安全生产宣传教育和培训工作，组织指导全县应急管理、安全生产的科学技术研究、推广应用和信息化建设工作。</w:t>
      </w:r>
    </w:p>
    <w:p w14:paraId="2CD8B6EC">
      <w:pPr>
        <w:spacing w:line="580" w:lineRule="exact"/>
        <w:ind w:firstLine="640"/>
        <w:jc w:val="both"/>
      </w:pPr>
      <w:r>
        <w:rPr>
          <w:rFonts w:ascii="仿宋_GB2312" w:hAnsi="仿宋_GB2312" w:eastAsia="仿宋_GB2312"/>
          <w:sz w:val="32"/>
        </w:rPr>
        <w:t>(十六)完成县委、县政府交办的其他任务。</w:t>
      </w:r>
    </w:p>
    <w:p w14:paraId="4204A6C5">
      <w:pPr>
        <w:spacing w:line="640" w:lineRule="exact"/>
        <w:ind w:firstLine="640"/>
        <w:jc w:val="both"/>
        <w:outlineLvl w:val="2"/>
      </w:pPr>
      <w:r>
        <w:rPr>
          <w:rFonts w:ascii="黑体" w:hAnsi="黑体" w:eastAsia="黑体"/>
          <w:sz w:val="32"/>
        </w:rPr>
        <w:t>二、机构设置及人员情况</w:t>
      </w:r>
    </w:p>
    <w:p w14:paraId="175618AE">
      <w:pPr>
        <w:spacing w:line="580" w:lineRule="exact"/>
        <w:ind w:firstLine="640"/>
        <w:jc w:val="both"/>
      </w:pPr>
      <w:r>
        <w:rPr>
          <w:rFonts w:ascii="仿宋_GB2312" w:hAnsi="仿宋_GB2312" w:eastAsia="仿宋_GB2312"/>
          <w:sz w:val="32"/>
        </w:rPr>
        <w:t>和田县应急管理局2024年度，实有人数29人，其中：在职人员24人，增加5人；离休人员0人，增加0人；退休人员5人,增加1人。</w:t>
      </w:r>
    </w:p>
    <w:p w14:paraId="2042343C">
      <w:pPr>
        <w:spacing w:line="580" w:lineRule="exact"/>
        <w:ind w:firstLine="640"/>
        <w:jc w:val="both"/>
      </w:pPr>
      <w:r>
        <w:rPr>
          <w:rFonts w:ascii="仿宋_GB2312" w:hAnsi="仿宋_GB2312" w:eastAsia="仿宋_GB2312"/>
          <w:sz w:val="32"/>
        </w:rPr>
        <w:t>和田县应急管理局无下属预算单位，下设5个科室，分别是：综合办公室、危化工贸科、矿山服务中心、预警中心、安委会办公室。</w:t>
      </w:r>
    </w:p>
    <w:p w14:paraId="71ECE6EA">
      <w:r>
        <w:br w:type="page"/>
      </w:r>
    </w:p>
    <w:p w14:paraId="2D5D6B1D">
      <w:pPr>
        <w:spacing w:line="240" w:lineRule="auto"/>
        <w:jc w:val="center"/>
        <w:outlineLvl w:val="1"/>
      </w:pPr>
      <w:r>
        <w:rPr>
          <w:rFonts w:ascii="黑体" w:hAnsi="黑体" w:eastAsia="黑体"/>
          <w:sz w:val="32"/>
        </w:rPr>
        <w:t>第二部分 部门决算情况说明</w:t>
      </w:r>
    </w:p>
    <w:p w14:paraId="20903498">
      <w:pPr>
        <w:spacing w:line="640" w:lineRule="exact"/>
        <w:ind w:firstLine="640"/>
        <w:jc w:val="both"/>
        <w:outlineLvl w:val="2"/>
      </w:pPr>
      <w:r>
        <w:rPr>
          <w:rFonts w:ascii="黑体" w:hAnsi="黑体" w:eastAsia="黑体"/>
          <w:sz w:val="32"/>
        </w:rPr>
        <w:t>一、收入支出决算总体情况说明</w:t>
      </w:r>
    </w:p>
    <w:p w14:paraId="0DA14B83">
      <w:pPr>
        <w:spacing w:line="580" w:lineRule="exact"/>
        <w:ind w:firstLine="640"/>
        <w:jc w:val="both"/>
      </w:pPr>
      <w:r>
        <w:rPr>
          <w:rFonts w:ascii="仿宋_GB2312" w:hAnsi="仿宋_GB2312" w:eastAsia="仿宋_GB2312"/>
          <w:b/>
          <w:sz w:val="32"/>
        </w:rPr>
        <w:t>2024年度收入总计2,482.38万元，</w:t>
      </w:r>
      <w:r>
        <w:rPr>
          <w:rFonts w:ascii="仿宋_GB2312" w:hAnsi="仿宋_GB2312" w:eastAsia="仿宋_GB2312"/>
          <w:b w:val="0"/>
          <w:sz w:val="32"/>
        </w:rPr>
        <w:t>其中：本年收入合计2,482.38万元，使用非财政拨款结余（含专用结余）0.00万元，年初结转和结余0.00万元。</w:t>
      </w:r>
    </w:p>
    <w:p w14:paraId="64798104">
      <w:pPr>
        <w:spacing w:line="580" w:lineRule="exact"/>
        <w:ind w:firstLine="640"/>
        <w:jc w:val="both"/>
      </w:pPr>
      <w:r>
        <w:rPr>
          <w:rFonts w:ascii="仿宋_GB2312" w:hAnsi="仿宋_GB2312" w:eastAsia="仿宋_GB2312"/>
          <w:b/>
          <w:sz w:val="32"/>
        </w:rPr>
        <w:t>2024年度支出总计2,482.38万元，</w:t>
      </w:r>
      <w:r>
        <w:rPr>
          <w:rFonts w:ascii="仿宋_GB2312" w:hAnsi="仿宋_GB2312" w:eastAsia="仿宋_GB2312"/>
          <w:b w:val="0"/>
          <w:sz w:val="32"/>
        </w:rPr>
        <w:t>其中：本年支出合计2,482.38万元，结余分配0.00万元，年末结转和结余0.00万元。</w:t>
      </w:r>
    </w:p>
    <w:p w14:paraId="1BA7C937">
      <w:pPr>
        <w:spacing w:line="580" w:lineRule="exact"/>
        <w:ind w:firstLine="640"/>
        <w:jc w:val="both"/>
      </w:pPr>
      <w:r>
        <w:rPr>
          <w:rFonts w:ascii="仿宋_GB2312" w:hAnsi="仿宋_GB2312" w:eastAsia="仿宋_GB2312"/>
          <w:b w:val="0"/>
          <w:sz w:val="32"/>
        </w:rPr>
        <w:t>收入支出总体与上年相比，增加423.77万元，增长20.59%，主要原因是：本年在职人员增加，相关人员经费增加，增加2024年中央自然灾害救助资金预算（冬春临时生活困难救助资金）、2024年驻村工作专项经费、和田县2023年中央自然灾害救灾资金（抗旱）。</w:t>
      </w:r>
    </w:p>
    <w:p w14:paraId="1DF3A728">
      <w:pPr>
        <w:spacing w:line="640" w:lineRule="exact"/>
        <w:ind w:firstLine="640"/>
        <w:jc w:val="both"/>
        <w:outlineLvl w:val="2"/>
      </w:pPr>
      <w:r>
        <w:rPr>
          <w:rFonts w:ascii="黑体" w:hAnsi="黑体" w:eastAsia="黑体"/>
          <w:sz w:val="32"/>
        </w:rPr>
        <w:t>二、收入决算情况说明</w:t>
      </w:r>
    </w:p>
    <w:p w14:paraId="523D8A42">
      <w:pPr>
        <w:spacing w:line="580" w:lineRule="exact"/>
        <w:ind w:firstLine="640"/>
        <w:jc w:val="both"/>
      </w:pPr>
      <w:r>
        <w:rPr>
          <w:rFonts w:ascii="仿宋_GB2312" w:hAnsi="仿宋_GB2312" w:eastAsia="仿宋_GB2312"/>
          <w:b/>
          <w:sz w:val="32"/>
        </w:rPr>
        <w:t>本年收入2,482.38万元，</w:t>
      </w:r>
      <w:r>
        <w:rPr>
          <w:rFonts w:ascii="仿宋_GB2312" w:hAnsi="仿宋_GB2312" w:eastAsia="仿宋_GB2312"/>
          <w:b w:val="0"/>
          <w:sz w:val="32"/>
        </w:rPr>
        <w:t>其中：财政拨款收入2,482.38万元，占100.00%；上级补助收入0.00万元，占0.00%；事业收入0.00万元，占0.00%；经营收入0.00万元，占0.00%；附属单位上缴收入0.00万元，占0.00%；其他收入0.00万元，占0.00%。</w:t>
      </w:r>
    </w:p>
    <w:p w14:paraId="4797997E">
      <w:pPr>
        <w:spacing w:line="640" w:lineRule="exact"/>
        <w:ind w:firstLine="640"/>
        <w:jc w:val="both"/>
        <w:outlineLvl w:val="2"/>
      </w:pPr>
      <w:r>
        <w:rPr>
          <w:rFonts w:ascii="黑体" w:hAnsi="黑体" w:eastAsia="黑体"/>
          <w:sz w:val="32"/>
        </w:rPr>
        <w:t>三、支出决算情况说明</w:t>
      </w:r>
    </w:p>
    <w:p w14:paraId="77D4A88D">
      <w:pPr>
        <w:spacing w:line="580" w:lineRule="exact"/>
        <w:ind w:firstLine="640"/>
        <w:jc w:val="both"/>
      </w:pPr>
      <w:r>
        <w:rPr>
          <w:rFonts w:ascii="仿宋_GB2312" w:hAnsi="仿宋_GB2312" w:eastAsia="仿宋_GB2312"/>
          <w:b/>
          <w:sz w:val="32"/>
        </w:rPr>
        <w:t>本年支出2,482.38万元，</w:t>
      </w:r>
      <w:r>
        <w:rPr>
          <w:rFonts w:ascii="仿宋_GB2312" w:hAnsi="仿宋_GB2312" w:eastAsia="仿宋_GB2312"/>
          <w:b w:val="0"/>
          <w:sz w:val="32"/>
        </w:rPr>
        <w:t>其中：基本支出464.37万元，占18.71%；项目支出2,018.01万元，占81.29%；上缴上级支出0.00万元，占0.00%；经营支出0.00万元，占0.00%；对附属单位补助支出0.00万元，占0.00%。</w:t>
      </w:r>
    </w:p>
    <w:p w14:paraId="0C7BC4F1">
      <w:pPr>
        <w:spacing w:line="640" w:lineRule="exact"/>
        <w:ind w:firstLine="640"/>
        <w:jc w:val="both"/>
        <w:outlineLvl w:val="2"/>
      </w:pPr>
      <w:r>
        <w:rPr>
          <w:rFonts w:ascii="黑体" w:hAnsi="黑体" w:eastAsia="黑体"/>
          <w:sz w:val="32"/>
        </w:rPr>
        <w:t>四、财政拨款收入支出决算总体情况说明</w:t>
      </w:r>
    </w:p>
    <w:p w14:paraId="6A9068D7">
      <w:pPr>
        <w:spacing w:line="580" w:lineRule="exact"/>
        <w:ind w:firstLine="640"/>
        <w:jc w:val="both"/>
      </w:pPr>
      <w:r>
        <w:rPr>
          <w:rFonts w:ascii="仿宋_GB2312" w:hAnsi="仿宋_GB2312" w:eastAsia="仿宋_GB2312"/>
          <w:b/>
          <w:sz w:val="32"/>
        </w:rPr>
        <w:t>2024年度财政拨款收入总计2,482.38万元，</w:t>
      </w:r>
      <w:r>
        <w:rPr>
          <w:rFonts w:ascii="仿宋_GB2312" w:hAnsi="仿宋_GB2312" w:eastAsia="仿宋_GB2312"/>
          <w:b w:val="0"/>
          <w:sz w:val="32"/>
        </w:rPr>
        <w:t>其中：年初财政拨款结转和结余0.00万元，本年财政拨款收入2,482.38万元。</w:t>
      </w:r>
      <w:r>
        <w:rPr>
          <w:rFonts w:ascii="仿宋_GB2312" w:hAnsi="仿宋_GB2312" w:eastAsia="仿宋_GB2312"/>
          <w:b/>
          <w:sz w:val="32"/>
        </w:rPr>
        <w:t>财政拨款支出总计2,482.38万元，</w:t>
      </w:r>
      <w:r>
        <w:rPr>
          <w:rFonts w:ascii="仿宋_GB2312" w:hAnsi="仿宋_GB2312" w:eastAsia="仿宋_GB2312"/>
          <w:b w:val="0"/>
          <w:sz w:val="32"/>
        </w:rPr>
        <w:t>其中：年末财政拨款结转和结余0.00万元，本年财政拨款支出2,482.38万元。</w:t>
      </w:r>
    </w:p>
    <w:p w14:paraId="089D6F7B">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1,940.49万元，增长358.10%，主要原因是：本年在职人员增加，相关人员经费增加，增加2024年中央自然灾害救助资金预算（冬春临时生活困难救助资金）、2024年安全生产保障资金、2024年驻村工作专项经费、和田县2023年中央自然灾害救灾资金（抗旱）。</w:t>
      </w:r>
      <w:r>
        <w:rPr>
          <w:rFonts w:ascii="仿宋_GB2312" w:hAnsi="仿宋_GB2312" w:eastAsia="仿宋_GB2312"/>
          <w:b/>
          <w:sz w:val="32"/>
        </w:rPr>
        <w:t>与年初预算相比，</w:t>
      </w:r>
      <w:r>
        <w:rPr>
          <w:rFonts w:ascii="仿宋_GB2312" w:hAnsi="仿宋_GB2312" w:eastAsia="仿宋_GB2312"/>
          <w:b w:val="0"/>
          <w:sz w:val="32"/>
        </w:rPr>
        <w:t>年初预算数830.34万元，决算数2,482.38万元，预决算差异率198.96%，主要原因是：年中追加2024年中央自然灾害救助资金预算（冬春临时生活困难救助资金）、2024年安全生产保障资金、2024年驻村工作专项经费；本年在职人员增加，年中追加人员经费及人员工资、社保、公积金基数调增部分资金，导致预决算存在差异。</w:t>
      </w:r>
    </w:p>
    <w:p w14:paraId="77B4156E">
      <w:pPr>
        <w:spacing w:line="640" w:lineRule="exact"/>
        <w:ind w:firstLine="640"/>
        <w:jc w:val="both"/>
        <w:outlineLvl w:val="2"/>
      </w:pPr>
      <w:r>
        <w:rPr>
          <w:rFonts w:ascii="黑体" w:hAnsi="黑体" w:eastAsia="黑体"/>
          <w:sz w:val="32"/>
        </w:rPr>
        <w:t>五、一般公共预算财政拨款支出决算情况说明</w:t>
      </w:r>
    </w:p>
    <w:p w14:paraId="609BDDAB">
      <w:pPr>
        <w:spacing w:line="640" w:lineRule="exact"/>
        <w:ind w:firstLine="640"/>
        <w:jc w:val="both"/>
        <w:outlineLvl w:val="3"/>
      </w:pPr>
      <w:r>
        <w:rPr>
          <w:rFonts w:ascii="楷体_GB2312" w:hAnsi="楷体_GB2312" w:eastAsia="楷体_GB2312"/>
          <w:b/>
          <w:sz w:val="32"/>
        </w:rPr>
        <w:t>（一）一般公共预算财政拨款支出决算总体情况</w:t>
      </w:r>
    </w:p>
    <w:p w14:paraId="7FFF9A10">
      <w:pPr>
        <w:spacing w:line="580" w:lineRule="exact"/>
        <w:ind w:firstLine="640"/>
        <w:jc w:val="both"/>
      </w:pPr>
      <w:r>
        <w:rPr>
          <w:rFonts w:ascii="仿宋_GB2312" w:hAnsi="仿宋_GB2312" w:eastAsia="仿宋_GB2312"/>
          <w:b/>
          <w:sz w:val="32"/>
        </w:rPr>
        <w:t>2024年度一般公共预算财政拨款支出2,482.38万元，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1,940.49万元，增长358.10%，主要原因是：本年在职人员增加，在职人员工资调增、社保、公积金基数调增，人员经费增加；增加2024年中央自然灾害救助资金预算（冬春临时生活困难救助资金）、2024年安全生产保障资金、2024年驻村工作专项经费、和田县2023年中央自然灾害救灾资金（抗旱）。</w:t>
      </w:r>
      <w:r>
        <w:rPr>
          <w:rFonts w:ascii="仿宋_GB2312" w:hAnsi="仿宋_GB2312" w:eastAsia="仿宋_GB2312"/>
          <w:b/>
          <w:sz w:val="32"/>
        </w:rPr>
        <w:t>与年初预算相比,</w:t>
      </w:r>
      <w:r>
        <w:rPr>
          <w:rFonts w:ascii="仿宋_GB2312" w:hAnsi="仿宋_GB2312" w:eastAsia="仿宋_GB2312"/>
          <w:b w:val="0"/>
          <w:sz w:val="32"/>
        </w:rPr>
        <w:t>年初预算数830.34万元，决算数2,482.38万元，预决算差异率198.96%，主要原因是：年中追加2024年中央自然灾害救助资金预算（冬春临时生活困难救助资金）、2024年安全生产保障资金、2024年驻村工作专项经费；本年在职人员增加，年中追加人员经费及人员工资、社保、公积金基数调增部分资金，导致预决算存在差异。</w:t>
      </w:r>
    </w:p>
    <w:p w14:paraId="76B20CE6">
      <w:pPr>
        <w:spacing w:line="640" w:lineRule="exact"/>
        <w:ind w:firstLine="640"/>
        <w:jc w:val="both"/>
        <w:outlineLvl w:val="3"/>
      </w:pPr>
      <w:r>
        <w:rPr>
          <w:rFonts w:ascii="楷体_GB2312" w:hAnsi="楷体_GB2312" w:eastAsia="楷体_GB2312"/>
          <w:b/>
          <w:sz w:val="32"/>
        </w:rPr>
        <w:t>（二）一般公共预算财政拨款支出决算结构情况</w:t>
      </w:r>
    </w:p>
    <w:p w14:paraId="76312E1F">
      <w:pPr>
        <w:spacing w:line="580" w:lineRule="exact"/>
        <w:ind w:firstLine="640"/>
        <w:jc w:val="both"/>
      </w:pPr>
      <w:r>
        <w:rPr>
          <w:rFonts w:ascii="仿宋_GB2312" w:hAnsi="仿宋_GB2312" w:eastAsia="仿宋_GB2312"/>
          <w:b w:val="0"/>
          <w:sz w:val="32"/>
        </w:rPr>
        <w:t>1.社会保障和就业支出(类)39.39万元,占1.59%。</w:t>
      </w:r>
    </w:p>
    <w:p w14:paraId="6CF4A912">
      <w:pPr>
        <w:spacing w:line="580" w:lineRule="exact"/>
        <w:ind w:firstLine="640"/>
        <w:jc w:val="both"/>
      </w:pPr>
      <w:r>
        <w:rPr>
          <w:rFonts w:ascii="仿宋_GB2312" w:hAnsi="仿宋_GB2312" w:eastAsia="仿宋_GB2312"/>
          <w:b w:val="0"/>
          <w:sz w:val="32"/>
        </w:rPr>
        <w:t>2.住房保障支出(类)33.22万元,占1.34%。</w:t>
      </w:r>
    </w:p>
    <w:p w14:paraId="0C744204">
      <w:pPr>
        <w:spacing w:line="580" w:lineRule="exact"/>
        <w:ind w:firstLine="640"/>
        <w:jc w:val="both"/>
      </w:pPr>
      <w:r>
        <w:rPr>
          <w:rFonts w:ascii="仿宋_GB2312" w:hAnsi="仿宋_GB2312" w:eastAsia="仿宋_GB2312"/>
          <w:b w:val="0"/>
          <w:sz w:val="32"/>
        </w:rPr>
        <w:t>3.灾害防治及应急管理支出(类)2,380.77万元,占95.91%。</w:t>
      </w:r>
    </w:p>
    <w:p w14:paraId="538E7AAA">
      <w:pPr>
        <w:spacing w:line="580" w:lineRule="exact"/>
        <w:ind w:firstLine="640"/>
        <w:jc w:val="both"/>
      </w:pPr>
      <w:r>
        <w:rPr>
          <w:rFonts w:ascii="仿宋_GB2312" w:hAnsi="仿宋_GB2312" w:eastAsia="仿宋_GB2312"/>
          <w:b w:val="0"/>
          <w:sz w:val="32"/>
        </w:rPr>
        <w:t>4.其他支出(类)29.00万元,占1.17%。</w:t>
      </w:r>
    </w:p>
    <w:p w14:paraId="52663504">
      <w:pPr>
        <w:spacing w:line="640" w:lineRule="exact"/>
        <w:ind w:firstLine="640"/>
        <w:jc w:val="both"/>
        <w:outlineLvl w:val="3"/>
      </w:pPr>
      <w:r>
        <w:rPr>
          <w:rFonts w:ascii="楷体_GB2312" w:hAnsi="楷体_GB2312" w:eastAsia="楷体_GB2312"/>
          <w:b/>
          <w:sz w:val="32"/>
        </w:rPr>
        <w:t>（三）一般公共预算财政拨款支出决算具体情况</w:t>
      </w:r>
    </w:p>
    <w:p w14:paraId="4D0F5525">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39.27万元，比上年决算增加6.99万元，增长21.65%,主要原因是：本年在职人员增加，养老保险缴费较上年增加。</w:t>
      </w:r>
    </w:p>
    <w:p w14:paraId="7CEE2862">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0.12万元，比上年决算减少5.52万元，下降97.87%,主要原因是：本年新增退休人员较上年减少，职业年金缴费较上年减少。</w:t>
      </w:r>
    </w:p>
    <w:p w14:paraId="48114EB4">
      <w:pPr>
        <w:spacing w:line="580" w:lineRule="exact"/>
        <w:ind w:firstLine="640"/>
        <w:jc w:val="both"/>
      </w:pPr>
      <w:r>
        <w:rPr>
          <w:rFonts w:ascii="仿宋_GB2312" w:hAnsi="仿宋_GB2312" w:eastAsia="仿宋_GB2312"/>
          <w:b w:val="0"/>
          <w:sz w:val="32"/>
        </w:rPr>
        <w:t>3.住房保障支出(类)住房改革支出(款)住房公积金(项):支出决算数为33.22万元，比上年决算增加33.22万元，增长100.00%,主要原因是：本年功能科目调整，住房公积金上年度在主科目列支，本年单独列支，导致经费较上年增加。</w:t>
      </w:r>
    </w:p>
    <w:p w14:paraId="57852EB6">
      <w:pPr>
        <w:spacing w:line="580" w:lineRule="exact"/>
        <w:ind w:firstLine="640"/>
        <w:jc w:val="both"/>
      </w:pPr>
      <w:r>
        <w:rPr>
          <w:rFonts w:ascii="仿宋_GB2312" w:hAnsi="仿宋_GB2312" w:eastAsia="仿宋_GB2312"/>
          <w:b w:val="0"/>
          <w:sz w:val="32"/>
        </w:rPr>
        <w:t>4.灾害防治及应急管理支出(类)应急管理事务(款)行政运行(项):支出决算数为391.76万元，比上年决算增加48.81万元，增长14.23%,主要原因是：本年新增在职人员，在职人员工资调增，人员经费增加，导致经费较上年有所增加。</w:t>
      </w:r>
    </w:p>
    <w:p w14:paraId="5FC068F9">
      <w:pPr>
        <w:spacing w:line="580" w:lineRule="exact"/>
        <w:ind w:firstLine="640"/>
        <w:jc w:val="both"/>
      </w:pPr>
      <w:r>
        <w:rPr>
          <w:rFonts w:ascii="仿宋_GB2312" w:hAnsi="仿宋_GB2312" w:eastAsia="仿宋_GB2312"/>
          <w:b w:val="0"/>
          <w:sz w:val="32"/>
        </w:rPr>
        <w:t>5.灾害防治及应急管理支出(类)应急管理事务(款)灾害风险防治(项):支出决算数为0.00万元，比上年决算减少2.91万元，下降100.00%,主要原因是：本年未安排灾害风险防治项目，导致支出较上年减少。</w:t>
      </w:r>
    </w:p>
    <w:p w14:paraId="0C59C07F">
      <w:pPr>
        <w:spacing w:line="580" w:lineRule="exact"/>
        <w:ind w:firstLine="640"/>
        <w:jc w:val="both"/>
      </w:pPr>
      <w:r>
        <w:rPr>
          <w:rFonts w:ascii="仿宋_GB2312" w:hAnsi="仿宋_GB2312" w:eastAsia="仿宋_GB2312"/>
          <w:b w:val="0"/>
          <w:sz w:val="32"/>
        </w:rPr>
        <w:t>6.灾害防治及应急管理支出(类)应急管理事务(款)应急救援(项):支出决算数为0.00万元，比上年决算减少88.90万元，下降100.00%,主要原因是：本年未安排安全生产保障专项经费，导致支出较上年减少。</w:t>
      </w:r>
    </w:p>
    <w:p w14:paraId="6D4591F7">
      <w:pPr>
        <w:spacing w:line="580" w:lineRule="exact"/>
        <w:ind w:firstLine="640"/>
        <w:jc w:val="both"/>
      </w:pPr>
      <w:r>
        <w:rPr>
          <w:rFonts w:ascii="仿宋_GB2312" w:hAnsi="仿宋_GB2312" w:eastAsia="仿宋_GB2312"/>
          <w:b w:val="0"/>
          <w:sz w:val="32"/>
        </w:rPr>
        <w:t>7.灾害防治及应急管理支出(类)消防救援事务(款)其他消防救援事务支出(项):支出决算数为1,567.53万元，比上年决算增加1,567.53万元，增长100.00%,主要原因是：本年增加2024年安全生产保障资金，导致支出较上年增加。</w:t>
      </w:r>
    </w:p>
    <w:p w14:paraId="73EE4268">
      <w:pPr>
        <w:spacing w:line="580" w:lineRule="exact"/>
        <w:ind w:firstLine="640"/>
        <w:jc w:val="both"/>
      </w:pPr>
      <w:r>
        <w:rPr>
          <w:rFonts w:ascii="仿宋_GB2312" w:hAnsi="仿宋_GB2312" w:eastAsia="仿宋_GB2312"/>
          <w:b w:val="0"/>
          <w:sz w:val="32"/>
        </w:rPr>
        <w:t>8.灾害防治及应急管理支出(类)矿山安全(款)矿山安全监察事务(项):支出决算数为396.00万元，比上年决算增加396.00万元，增长100.00%,主要原因是：本年增加灾害防治及应急管理矿山安全监察事务项目，导致经费较上年增加。</w:t>
      </w:r>
    </w:p>
    <w:p w14:paraId="0BC7BB2D">
      <w:pPr>
        <w:spacing w:line="580" w:lineRule="exact"/>
        <w:ind w:firstLine="640"/>
        <w:jc w:val="both"/>
      </w:pPr>
      <w:r>
        <w:rPr>
          <w:rFonts w:ascii="仿宋_GB2312" w:hAnsi="仿宋_GB2312" w:eastAsia="仿宋_GB2312"/>
          <w:b w:val="0"/>
          <w:sz w:val="32"/>
        </w:rPr>
        <w:t>9.灾害防治及应急管理支出(类)地震事务(款)地震事业机构(项):支出决算数为0.48万元，比上年决算减少0.72万元，下降60.00%,主要原因是：本年减少“三网一员”项目经费，导致支出较上年减少。</w:t>
      </w:r>
    </w:p>
    <w:p w14:paraId="7E6A6035">
      <w:pPr>
        <w:spacing w:line="580" w:lineRule="exact"/>
        <w:ind w:firstLine="640"/>
        <w:jc w:val="both"/>
      </w:pPr>
      <w:r>
        <w:rPr>
          <w:rFonts w:ascii="仿宋_GB2312" w:hAnsi="仿宋_GB2312" w:eastAsia="仿宋_GB2312"/>
          <w:b w:val="0"/>
          <w:sz w:val="32"/>
        </w:rPr>
        <w:t>10.灾害防治及应急管理支出(类)自然灾害防治(款)其他自然灾害防治支出(项):支出决算数为0.00万元，比上年决算减少40.00万元，下降100.00%,主要原因是：本年未安排2023年自治区特大防汛补助资金项目，导致支出较上年减少。</w:t>
      </w:r>
    </w:p>
    <w:p w14:paraId="16454D1B">
      <w:pPr>
        <w:spacing w:line="580" w:lineRule="exact"/>
        <w:ind w:firstLine="640"/>
        <w:jc w:val="both"/>
      </w:pPr>
      <w:r>
        <w:rPr>
          <w:rFonts w:ascii="仿宋_GB2312" w:hAnsi="仿宋_GB2312" w:eastAsia="仿宋_GB2312"/>
          <w:b w:val="0"/>
          <w:sz w:val="32"/>
        </w:rPr>
        <w:t>11.灾害防治及应急管理支出(类)自然灾害救灾及恢复重建支出(款)自然灾害救灾补助(项):支出决算数为25.00万元，比上年决算增加25.00万元，增长100.00%,主要原因是：本年增加中央防汛抗旱物资项目，导致支出较上年增加。</w:t>
      </w:r>
    </w:p>
    <w:p w14:paraId="21099F0E">
      <w:pPr>
        <w:spacing w:line="580" w:lineRule="exact"/>
        <w:ind w:firstLine="640"/>
        <w:jc w:val="both"/>
      </w:pPr>
      <w:r>
        <w:rPr>
          <w:rFonts w:ascii="仿宋_GB2312" w:hAnsi="仿宋_GB2312" w:eastAsia="仿宋_GB2312"/>
          <w:b w:val="0"/>
          <w:sz w:val="32"/>
        </w:rPr>
        <w:t>12.其他支出(类)其他支出(款)其他支出(项):支出决算数为29.00万元，比上年决算增加1.00万元，增长3.57%,主要原因是：本年增加为民办实事工作经费，导致支出较上年增加。</w:t>
      </w:r>
    </w:p>
    <w:p w14:paraId="38609FEC">
      <w:pPr>
        <w:spacing w:line="640" w:lineRule="exact"/>
        <w:ind w:firstLine="640"/>
        <w:jc w:val="both"/>
        <w:outlineLvl w:val="2"/>
      </w:pPr>
      <w:r>
        <w:rPr>
          <w:rFonts w:ascii="黑体" w:hAnsi="黑体" w:eastAsia="黑体"/>
          <w:sz w:val="32"/>
        </w:rPr>
        <w:t>六、一般公共预算财政拨款基本支出决算情况说明</w:t>
      </w:r>
    </w:p>
    <w:p w14:paraId="14B5E424">
      <w:pPr>
        <w:spacing w:line="580" w:lineRule="exact"/>
        <w:ind w:firstLine="640"/>
        <w:jc w:val="both"/>
      </w:pPr>
      <w:r>
        <w:rPr>
          <w:rFonts w:ascii="仿宋_GB2312" w:hAnsi="仿宋_GB2312" w:eastAsia="仿宋_GB2312"/>
          <w:b w:val="0"/>
          <w:sz w:val="32"/>
        </w:rPr>
        <w:t>2024年度一般公共预算财政拨款基本支出464.37万元，其中：</w:t>
      </w:r>
      <w:r>
        <w:rPr>
          <w:rFonts w:ascii="仿宋_GB2312" w:hAnsi="仿宋_GB2312" w:eastAsia="仿宋_GB2312"/>
          <w:b/>
          <w:sz w:val="32"/>
        </w:rPr>
        <w:t>人员经费446.77万元，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w:t>
      </w:r>
    </w:p>
    <w:p w14:paraId="477F4AB4">
      <w:pPr>
        <w:spacing w:line="580" w:lineRule="exact"/>
        <w:ind w:firstLine="640"/>
        <w:jc w:val="both"/>
      </w:pPr>
      <w:r>
        <w:rPr>
          <w:rFonts w:ascii="仿宋_GB2312" w:hAnsi="仿宋_GB2312" w:eastAsia="仿宋_GB2312"/>
          <w:b/>
          <w:sz w:val="32"/>
        </w:rPr>
        <w:t>公用经费17.60万元，</w:t>
      </w:r>
      <w:r>
        <w:rPr>
          <w:rFonts w:ascii="仿宋_GB2312" w:hAnsi="仿宋_GB2312" w:eastAsia="仿宋_GB2312"/>
          <w:b w:val="0"/>
          <w:sz w:val="32"/>
        </w:rPr>
        <w:t>包括：办公费、邮电费、差旅费、委托业务费、公务用车运行维护费、税金及附加费用。</w:t>
      </w:r>
    </w:p>
    <w:p w14:paraId="1710FC89">
      <w:pPr>
        <w:spacing w:line="640" w:lineRule="exact"/>
        <w:ind w:firstLine="640"/>
        <w:jc w:val="both"/>
        <w:outlineLvl w:val="2"/>
      </w:pPr>
      <w:r>
        <w:rPr>
          <w:rFonts w:ascii="黑体" w:hAnsi="黑体" w:eastAsia="黑体"/>
          <w:sz w:val="32"/>
        </w:rPr>
        <w:t>七、政府性基金预算财政拨款收入支出决算情况说明</w:t>
      </w:r>
    </w:p>
    <w:p w14:paraId="3DC13E7A">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66DAC97F">
      <w:pPr>
        <w:spacing w:line="640" w:lineRule="exact"/>
        <w:ind w:firstLine="640"/>
        <w:jc w:val="both"/>
        <w:outlineLvl w:val="2"/>
      </w:pPr>
      <w:r>
        <w:rPr>
          <w:rFonts w:ascii="黑体" w:hAnsi="黑体" w:eastAsia="黑体"/>
          <w:sz w:val="32"/>
        </w:rPr>
        <w:t>八、国有资本经营预算财政拨款收入支出决算情况说明</w:t>
      </w:r>
    </w:p>
    <w:p w14:paraId="1505B0E2">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0D7C444D">
      <w:pPr>
        <w:spacing w:line="640" w:lineRule="exact"/>
        <w:ind w:firstLine="640"/>
        <w:jc w:val="both"/>
        <w:outlineLvl w:val="2"/>
      </w:pPr>
      <w:r>
        <w:rPr>
          <w:rFonts w:ascii="黑体" w:hAnsi="黑体" w:eastAsia="黑体"/>
          <w:sz w:val="32"/>
        </w:rPr>
        <w:t>九、财政拨款“三公”经费支出决算情况说明</w:t>
      </w:r>
    </w:p>
    <w:p w14:paraId="504563DB">
      <w:pPr>
        <w:spacing w:line="580" w:lineRule="exact"/>
        <w:ind w:firstLine="640"/>
        <w:jc w:val="both"/>
      </w:pPr>
      <w:r>
        <w:rPr>
          <w:rFonts w:ascii="仿宋_GB2312" w:hAnsi="仿宋_GB2312" w:eastAsia="仿宋_GB2312"/>
          <w:b/>
          <w:sz w:val="32"/>
        </w:rPr>
        <w:t>2024年度财政拨款“三公”经费支出3.10万元，</w:t>
      </w:r>
      <w:r>
        <w:rPr>
          <w:rFonts w:ascii="仿宋_GB2312" w:hAnsi="仿宋_GB2312" w:eastAsia="仿宋_GB2312"/>
          <w:b w:val="0"/>
          <w:sz w:val="32"/>
        </w:rPr>
        <w:t>比上年减少0.17万元，下降5.20%，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3.10万元，占100.00%，比上年减少0.17万元，下降5.20%，主要原因是：严格落实中央八项规定精神，厉行节约，减少公务用车运行维护费。公务接待费支出0.00万元，占0.00%，比上年增加0.00万元，增长0.00%，主要原因是：2023年与2024年均未安排公务接待费支出。</w:t>
      </w:r>
    </w:p>
    <w:p w14:paraId="043BA416">
      <w:pPr>
        <w:spacing w:line="580" w:lineRule="exact"/>
        <w:ind w:firstLine="640"/>
        <w:jc w:val="both"/>
      </w:pPr>
      <w:r>
        <w:rPr>
          <w:rFonts w:ascii="仿宋_GB2312" w:hAnsi="仿宋_GB2312" w:eastAsia="仿宋_GB2312"/>
          <w:b/>
          <w:sz w:val="32"/>
        </w:rPr>
        <w:t>具体情况如下：</w:t>
      </w:r>
    </w:p>
    <w:p w14:paraId="64FBBA61">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1D560794">
      <w:pPr>
        <w:spacing w:line="580" w:lineRule="exact"/>
        <w:ind w:firstLine="640"/>
        <w:jc w:val="both"/>
      </w:pPr>
      <w:r>
        <w:rPr>
          <w:rFonts w:ascii="仿宋_GB2312" w:hAnsi="仿宋_GB2312" w:eastAsia="仿宋_GB2312"/>
          <w:b w:val="0"/>
          <w:sz w:val="32"/>
        </w:rPr>
        <w:t>公务用车购置及运行维护费3.10万元，其中：公务用车购置费0.00万元，公务用车运行维护费3.10万元。公务用车运行维护费开支内容包括车辆加油费、车辆维修费、车辆保险费。公务用车购置数0辆，公务用车保有量2辆。国有资产占用情况中固定资产车辆2辆，与公务用车保有量差异原因是：本单位固定资产车辆与公务用车保有量一致无差异。</w:t>
      </w:r>
    </w:p>
    <w:p w14:paraId="3FE30EE0">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3BFF6D68">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3.10万元，决算数3.10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3.10万元，决算数3.10万元，预决算差异率0.00%，主要原因是：严格按照预算执行，预决算无差异。公务接待费全年预算数0.00万元，决算数0.00万元，预决算差异率0.00%，主要原因是：本单位无公务接待费。</w:t>
      </w:r>
    </w:p>
    <w:p w14:paraId="17ECACC9">
      <w:pPr>
        <w:spacing w:line="640" w:lineRule="exact"/>
        <w:ind w:firstLine="640"/>
        <w:jc w:val="both"/>
        <w:outlineLvl w:val="2"/>
      </w:pPr>
      <w:r>
        <w:rPr>
          <w:rFonts w:ascii="黑体" w:hAnsi="黑体" w:eastAsia="黑体"/>
          <w:sz w:val="32"/>
        </w:rPr>
        <w:t>十、其他重要事项的情况说明</w:t>
      </w:r>
    </w:p>
    <w:p w14:paraId="68032DE9">
      <w:pPr>
        <w:spacing w:line="640" w:lineRule="exact"/>
        <w:ind w:firstLine="640"/>
        <w:jc w:val="both"/>
        <w:outlineLvl w:val="3"/>
      </w:pPr>
      <w:r>
        <w:rPr>
          <w:rFonts w:ascii="楷体_GB2312" w:hAnsi="楷体_GB2312" w:eastAsia="楷体_GB2312"/>
          <w:b/>
          <w:sz w:val="32"/>
        </w:rPr>
        <w:t>（一）机关运行经费及公用经费支出情况</w:t>
      </w:r>
    </w:p>
    <w:p w14:paraId="6DE112ED">
      <w:pPr>
        <w:spacing w:line="580" w:lineRule="exact"/>
        <w:ind w:firstLine="640"/>
        <w:jc w:val="both"/>
      </w:pPr>
      <w:r>
        <w:rPr>
          <w:rFonts w:ascii="仿宋_GB2312" w:hAnsi="仿宋_GB2312" w:eastAsia="仿宋_GB2312"/>
          <w:b w:val="0"/>
          <w:sz w:val="32"/>
        </w:rPr>
        <w:t>2024年度和田县应急管理局（行政单位和参照公务员法管理事业单位）机关运行经费支出17.60万元，比上年增加11.96万元，增长212.06%，主要原因是：本年在职人员增加，差旅费增加，导致公用经费增加。</w:t>
      </w:r>
    </w:p>
    <w:p w14:paraId="1D399CD9">
      <w:pPr>
        <w:spacing w:line="640" w:lineRule="exact"/>
        <w:ind w:firstLine="640"/>
        <w:jc w:val="both"/>
        <w:outlineLvl w:val="3"/>
      </w:pPr>
      <w:r>
        <w:rPr>
          <w:rFonts w:ascii="楷体_GB2312" w:hAnsi="楷体_GB2312" w:eastAsia="楷体_GB2312"/>
          <w:b/>
          <w:sz w:val="32"/>
        </w:rPr>
        <w:t>（二）政府采购情况</w:t>
      </w:r>
    </w:p>
    <w:p w14:paraId="339278FE">
      <w:pPr>
        <w:spacing w:line="580" w:lineRule="exact"/>
        <w:ind w:firstLine="640"/>
        <w:jc w:val="both"/>
      </w:pPr>
      <w:r>
        <w:rPr>
          <w:rFonts w:ascii="仿宋_GB2312" w:hAnsi="仿宋_GB2312" w:eastAsia="仿宋_GB2312"/>
          <w:b w:val="0"/>
          <w:sz w:val="32"/>
        </w:rPr>
        <w:t>2024年度政府采购支出总额1.23万元，其中：政府采购货物支出0.53万元、政府采购工程支出0.00万元、政府采购服务支出0.71万元。</w:t>
      </w:r>
    </w:p>
    <w:p w14:paraId="4E50B0CC">
      <w:pPr>
        <w:spacing w:line="580" w:lineRule="exact"/>
        <w:ind w:firstLine="640"/>
        <w:jc w:val="both"/>
      </w:pPr>
      <w:r>
        <w:rPr>
          <w:rFonts w:ascii="仿宋_GB2312" w:hAnsi="仿宋_GB2312" w:eastAsia="仿宋_GB2312"/>
          <w:b w:val="0"/>
          <w:sz w:val="32"/>
        </w:rPr>
        <w:t>授予中小企业合同金额1.23万元，占政府采购支出总额的100.00%，其中：授予小微企业合同金额1.23万元，占政府采购支出总额的100.00%。</w:t>
      </w:r>
    </w:p>
    <w:p w14:paraId="54F980F1">
      <w:pPr>
        <w:spacing w:line="640" w:lineRule="exact"/>
        <w:ind w:firstLine="640"/>
        <w:jc w:val="both"/>
        <w:outlineLvl w:val="3"/>
      </w:pPr>
      <w:r>
        <w:rPr>
          <w:rFonts w:ascii="楷体_GB2312" w:hAnsi="楷体_GB2312" w:eastAsia="楷体_GB2312"/>
          <w:b/>
          <w:sz w:val="32"/>
        </w:rPr>
        <w:t>（三）国有资产占用情况说明</w:t>
      </w:r>
    </w:p>
    <w:p w14:paraId="7EDC1B08">
      <w:pPr>
        <w:spacing w:line="580" w:lineRule="exact"/>
        <w:ind w:firstLine="640"/>
        <w:jc w:val="both"/>
      </w:pPr>
      <w:r>
        <w:rPr>
          <w:rFonts w:ascii="仿宋_GB2312" w:hAnsi="仿宋_GB2312" w:eastAsia="仿宋_GB2312"/>
          <w:b w:val="0"/>
          <w:sz w:val="32"/>
        </w:rPr>
        <w:t>截至2024年12月31日，房屋0.00平方米，价值0.00万元。车辆2辆，价值32.38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03776747">
      <w:pPr>
        <w:spacing w:line="640" w:lineRule="exact"/>
        <w:ind w:firstLine="640"/>
        <w:jc w:val="both"/>
        <w:outlineLvl w:val="2"/>
      </w:pPr>
      <w:r>
        <w:rPr>
          <w:rFonts w:ascii="黑体" w:hAnsi="黑体" w:eastAsia="黑体"/>
          <w:sz w:val="32"/>
        </w:rPr>
        <w:t>十一、预算绩效的情况说明</w:t>
      </w:r>
    </w:p>
    <w:p w14:paraId="10D1CB37">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2,482.37万元，实际执行总额2,482.37万元；预算绩效评价项目5个，全年预算数156.05万元，全年执行数27.05万元。预算绩效管理取得的成效：一是不断完善各项预算管理制度，根据新形势和新要求，结合不断出台的各项制度，制定相应的预算管理制度；二是强化预算管理，事前必编预算，控制经费使用，使用必问绩效，将绩效管理贯穿于预算编制、执行及决算等环节。发现的问题及原因：</w:t>
      </w:r>
      <w:r>
        <w:rPr>
          <w:rFonts w:hint="eastAsia" w:ascii="仿宋_GB2312" w:hAnsi="仿宋_GB2312" w:eastAsia="仿宋_GB2312"/>
          <w:b w:val="0"/>
          <w:sz w:val="32"/>
        </w:rPr>
        <w:t>由于绩效管理工作运行时间较短，在绩效目标编制上依然有欠缺，绩效目标设立不够明确、细化和量化，对绩效分析也不够透彻，社会效益和可持续影响三级指标把握得不准。</w:t>
      </w:r>
      <w:r>
        <w:rPr>
          <w:rFonts w:ascii="仿宋_GB2312" w:hAnsi="仿宋_GB2312" w:eastAsia="仿宋_GB2312"/>
          <w:b w:val="0"/>
          <w:sz w:val="32"/>
        </w:rPr>
        <w:t>下一步改进措施：一是继续加大绩效工作宣传力度，强化绩效理念。二是继续完善绩效指标，提高整体绩效目标质量。提升预算精细化管理水平；三是继续完善预算绩效管理相关工作制度，建立全过程预算绩效管理链条，有效贯彻落实全面实施绩效管理的精神。具体附整体支出绩效自评表，项目支出绩效自评表和评价报告。</w:t>
      </w:r>
    </w:p>
    <w:p w14:paraId="5AEBF41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1F6173B">
        <w:tblPrEx>
          <w:tblCellMar>
            <w:top w:w="0" w:type="dxa"/>
            <w:left w:w="108" w:type="dxa"/>
            <w:bottom w:w="0" w:type="dxa"/>
            <w:right w:w="108" w:type="dxa"/>
          </w:tblCellMar>
        </w:tblPrEx>
        <w:tc>
          <w:tcPr>
            <w:tcW w:w="8847" w:type="dxa"/>
            <w:gridSpan w:val="9"/>
            <w:vAlign w:val="center"/>
          </w:tcPr>
          <w:p w14:paraId="1D3A25BA">
            <w:pPr>
              <w:jc w:val="center"/>
            </w:pPr>
            <w:r>
              <w:rPr>
                <w:rFonts w:ascii="宋体" w:hAnsi="宋体" w:eastAsia="宋体"/>
                <w:sz w:val="24"/>
              </w:rPr>
              <w:t>单位整体支出绩效自评表</w:t>
            </w:r>
          </w:p>
        </w:tc>
      </w:tr>
      <w:tr w14:paraId="2AD3F285">
        <w:tblPrEx>
          <w:tblCellMar>
            <w:top w:w="0" w:type="dxa"/>
            <w:left w:w="108" w:type="dxa"/>
            <w:bottom w:w="0" w:type="dxa"/>
            <w:right w:w="108" w:type="dxa"/>
          </w:tblCellMar>
        </w:tblPrEx>
        <w:tc>
          <w:tcPr>
            <w:tcW w:w="8847" w:type="dxa"/>
            <w:gridSpan w:val="9"/>
            <w:vAlign w:val="center"/>
          </w:tcPr>
          <w:p w14:paraId="6DF95E9D">
            <w:pPr>
              <w:jc w:val="center"/>
            </w:pPr>
            <w:r>
              <w:rPr>
                <w:rFonts w:ascii="宋体" w:hAnsi="宋体" w:eastAsia="宋体"/>
                <w:sz w:val="24"/>
              </w:rPr>
              <w:t>（2024年度）</w:t>
            </w:r>
          </w:p>
        </w:tc>
      </w:tr>
      <w:tr w14:paraId="67C1E77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5C4BD">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F0FF53A">
            <w:pPr>
              <w:jc w:val="center"/>
            </w:pPr>
            <w:r>
              <w:rPr>
                <w:rFonts w:ascii="宋体" w:hAnsi="宋体" w:eastAsia="宋体"/>
                <w:sz w:val="16"/>
              </w:rPr>
              <w:t>和田县应急管理局</w:t>
            </w:r>
          </w:p>
        </w:tc>
      </w:tr>
      <w:tr w14:paraId="3546F44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85492E">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C84AF1">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2635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458FD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D0585">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A0DC95">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6790D4">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72249B">
            <w:pPr>
              <w:jc w:val="center"/>
            </w:pPr>
            <w:r>
              <w:rPr>
                <w:rFonts w:ascii="宋体" w:hAnsi="宋体" w:eastAsia="宋体"/>
                <w:sz w:val="16"/>
              </w:rPr>
              <w:t>得分</w:t>
            </w:r>
          </w:p>
        </w:tc>
      </w:tr>
      <w:tr w14:paraId="40AC3B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5C958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7AAE21">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9918FF">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A7BFD">
            <w:pPr>
              <w:jc w:val="center"/>
            </w:pPr>
            <w:r>
              <w:rPr>
                <w:rFonts w:ascii="宋体" w:hAnsi="宋体" w:eastAsia="宋体"/>
                <w:sz w:val="16"/>
              </w:rPr>
              <w:t>425.48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D8C11C">
            <w:pPr>
              <w:jc w:val="center"/>
            </w:pPr>
            <w:r>
              <w:rPr>
                <w:rFonts w:ascii="宋体" w:hAnsi="宋体" w:eastAsia="宋体"/>
                <w:sz w:val="16"/>
              </w:rPr>
              <w:t>2,018.00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2870D">
            <w:pPr>
              <w:jc w:val="center"/>
            </w:pPr>
            <w:r>
              <w:rPr>
                <w:rFonts w:ascii="宋体" w:hAnsi="宋体" w:eastAsia="宋体"/>
                <w:sz w:val="16"/>
              </w:rPr>
              <w:t>2,018.00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21D2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258BD">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85E52A">
            <w:pPr>
              <w:jc w:val="center"/>
            </w:pPr>
            <w:r>
              <w:rPr>
                <w:rFonts w:ascii="宋体" w:hAnsi="宋体" w:eastAsia="宋体"/>
                <w:sz w:val="16"/>
              </w:rPr>
              <w:t>10</w:t>
            </w:r>
          </w:p>
        </w:tc>
      </w:tr>
      <w:tr w14:paraId="51F10F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FB0C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CC6E6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927479">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AC09D2">
            <w:pPr>
              <w:jc w:val="center"/>
            </w:pPr>
            <w:r>
              <w:rPr>
                <w:rFonts w:ascii="宋体" w:hAnsi="宋体" w:eastAsia="宋体"/>
                <w:sz w:val="16"/>
              </w:rPr>
              <w:t>404.86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7DE9C8">
            <w:pPr>
              <w:jc w:val="center"/>
            </w:pPr>
            <w:r>
              <w:rPr>
                <w:rFonts w:ascii="宋体" w:hAnsi="宋体" w:eastAsia="宋体"/>
                <w:sz w:val="16"/>
              </w:rPr>
              <w:t>464.37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B77208">
            <w:pPr>
              <w:jc w:val="center"/>
            </w:pPr>
            <w:r>
              <w:rPr>
                <w:rFonts w:ascii="宋体" w:hAnsi="宋体" w:eastAsia="宋体"/>
                <w:sz w:val="16"/>
              </w:rPr>
              <w:t>464.37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3F815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2C5E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C05163">
            <w:pPr>
              <w:jc w:val="center"/>
            </w:pPr>
            <w:r>
              <w:rPr>
                <w:rFonts w:ascii="宋体" w:hAnsi="宋体" w:eastAsia="宋体"/>
                <w:sz w:val="16"/>
              </w:rPr>
              <w:t>-</w:t>
            </w:r>
          </w:p>
        </w:tc>
      </w:tr>
      <w:tr w14:paraId="6CC56C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F5355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1592C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5E74E0">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C0D8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44B85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7747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BADD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DB21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8FD325">
            <w:pPr>
              <w:jc w:val="center"/>
            </w:pPr>
            <w:r>
              <w:rPr>
                <w:rFonts w:ascii="宋体" w:hAnsi="宋体" w:eastAsia="宋体"/>
                <w:sz w:val="16"/>
              </w:rPr>
              <w:t>-</w:t>
            </w:r>
          </w:p>
        </w:tc>
      </w:tr>
      <w:tr w14:paraId="4311C8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47B69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D81436">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3034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92F1D9">
            <w:pPr>
              <w:jc w:val="center"/>
            </w:pPr>
            <w:r>
              <w:rPr>
                <w:rFonts w:ascii="宋体" w:hAnsi="宋体" w:eastAsia="宋体"/>
                <w:sz w:val="16"/>
              </w:rPr>
              <w:t>830.34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FA9FD2">
            <w:pPr>
              <w:jc w:val="center"/>
            </w:pPr>
            <w:r>
              <w:rPr>
                <w:rFonts w:ascii="宋体" w:hAnsi="宋体" w:eastAsia="宋体"/>
                <w:sz w:val="16"/>
              </w:rPr>
              <w:t>2,482.37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A1A8FD">
            <w:pPr>
              <w:jc w:val="center"/>
            </w:pPr>
            <w:r>
              <w:rPr>
                <w:rFonts w:ascii="宋体" w:hAnsi="宋体" w:eastAsia="宋体"/>
                <w:sz w:val="16"/>
              </w:rPr>
              <w:t>2,482.37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93CA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58A1D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76CF53">
            <w:pPr>
              <w:jc w:val="center"/>
            </w:pPr>
            <w:r>
              <w:rPr>
                <w:rFonts w:ascii="宋体" w:hAnsi="宋体" w:eastAsia="宋体"/>
                <w:sz w:val="16"/>
              </w:rPr>
              <w:t>-</w:t>
            </w:r>
          </w:p>
        </w:tc>
      </w:tr>
      <w:tr w14:paraId="43D8B19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B2CE9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FFE02E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B76A1B5">
            <w:pPr>
              <w:jc w:val="center"/>
            </w:pPr>
            <w:r>
              <w:rPr>
                <w:rFonts w:ascii="宋体" w:hAnsi="宋体" w:eastAsia="宋体"/>
                <w:sz w:val="16"/>
              </w:rPr>
              <w:t>实际完成情况</w:t>
            </w:r>
          </w:p>
        </w:tc>
      </w:tr>
      <w:tr w14:paraId="1B79393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FCDFF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BEF4A16">
            <w:pPr>
              <w:jc w:val="both"/>
            </w:pPr>
            <w:r>
              <w:rPr>
                <w:rFonts w:hint="eastAsia" w:ascii="宋体" w:hAnsi="宋体"/>
                <w:sz w:val="16"/>
                <w:lang w:eastAsia="zh-CN"/>
              </w:rPr>
              <w:t>1.</w:t>
            </w:r>
            <w:r>
              <w:rPr>
                <w:rFonts w:ascii="宋体" w:hAnsi="宋体" w:eastAsia="宋体"/>
                <w:sz w:val="16"/>
              </w:rPr>
              <w:t>持续推进安全生产专项整治。进一步压实地方</w:t>
            </w:r>
            <w:r>
              <w:rPr>
                <w:rFonts w:hint="eastAsia" w:ascii="宋体" w:hAnsi="宋体"/>
                <w:sz w:val="16"/>
                <w:lang w:eastAsia="zh-CN"/>
              </w:rPr>
              <w:t>党委、政府</w:t>
            </w:r>
            <w:r>
              <w:rPr>
                <w:rFonts w:ascii="宋体" w:hAnsi="宋体" w:eastAsia="宋体"/>
                <w:sz w:val="16"/>
              </w:rPr>
              <w:t>属地管理、部门监管和企业主体责任，坚持人民至上、生命至上，强化风险隐患排查治理和双重预防机制建设，构建风险管控“六项机制”。</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2、强化安全生产执法检查力度。加大执法检查频次和力度，严格按照年度执法计划开展检查强化预防控制措施落实，全力筑牢安全生产“防火墙”。</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3、着力夯实安全生产基础。大力开展“安全生产月”、安全生产“七进”宣讲等系列活动，普及安全生产知识，开展大型宣传不少于6次。组织企业业务学习每季度不少于1次。</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4、健全防灾减灾救灾体制机制。严格落实2023年地震综合实战应急演练计划，全年</w:t>
            </w:r>
            <w:r>
              <w:rPr>
                <w:rFonts w:hint="eastAsia" w:ascii="宋体" w:hAnsi="宋体"/>
                <w:sz w:val="16"/>
                <w:lang w:eastAsia="zh-CN"/>
              </w:rPr>
              <w:t>开展</w:t>
            </w:r>
            <w:r>
              <w:rPr>
                <w:rFonts w:ascii="宋体" w:hAnsi="宋体" w:eastAsia="宋体"/>
                <w:sz w:val="16"/>
              </w:rPr>
              <w:t>6次演练。</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5、增强自然灾害应急处置能力。</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6、增强重大工程防灾减灾能力。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D93F257">
            <w:pPr>
              <w:jc w:val="both"/>
            </w:pPr>
            <w:r>
              <w:rPr>
                <w:rFonts w:hint="eastAsia" w:ascii="宋体" w:hAnsi="宋体"/>
                <w:sz w:val="16"/>
                <w:lang w:eastAsia="zh-CN"/>
              </w:rPr>
              <w:t>截至</w:t>
            </w:r>
            <w:r>
              <w:rPr>
                <w:rFonts w:ascii="宋体" w:hAnsi="宋体" w:eastAsia="宋体"/>
                <w:sz w:val="16"/>
              </w:rPr>
              <w:t>自评节点，我单位持续推进安全生产专项整治，进一步压实地方</w:t>
            </w:r>
            <w:r>
              <w:rPr>
                <w:rFonts w:hint="eastAsia" w:ascii="宋体" w:hAnsi="宋体"/>
                <w:sz w:val="16"/>
                <w:lang w:eastAsia="zh-CN"/>
              </w:rPr>
              <w:t>党委、政府</w:t>
            </w:r>
            <w:r>
              <w:rPr>
                <w:rFonts w:ascii="宋体" w:hAnsi="宋体" w:eastAsia="宋体"/>
                <w:sz w:val="16"/>
              </w:rPr>
              <w:t>属地管理、部门监管和企业主体责任，坚持人民至上、生命至上，强化风险隐患排查治理和双重预防机制建设，构建风险管控“六项机制”。强化安全生产执法检查力度。加大执法检查频次和力度，严格按照年度执法计划开展检查强化预防控制措施落实，全力筑牢安全生产“防火墙”。着力夯实安全生产基础。大力开展“安全生产月”、安全生产“七进”宣讲等系列活动，普及安全生产知识。开展安全生产宣传场次7次、开展重点企业检查数量60次、开展地震应急演练次数4次、进行业务培训学习3次。</w:t>
            </w:r>
          </w:p>
        </w:tc>
      </w:tr>
      <w:tr w14:paraId="487CFB3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5475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D44BDD">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6F678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E8893">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A1AB0E">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9C96B">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0CCB3">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AD006">
            <w:pPr>
              <w:jc w:val="center"/>
            </w:pPr>
            <w:r>
              <w:rPr>
                <w:rFonts w:ascii="宋体" w:hAnsi="宋体" w:eastAsia="宋体"/>
                <w:sz w:val="16"/>
              </w:rPr>
              <w:t>得分</w:t>
            </w:r>
          </w:p>
        </w:tc>
      </w:tr>
      <w:tr w14:paraId="4638D1B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57021C">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6DA1E2">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F14DAE">
            <w:pPr>
              <w:jc w:val="center"/>
            </w:pPr>
            <w:r>
              <w:rPr>
                <w:rFonts w:ascii="宋体" w:hAnsi="宋体" w:eastAsia="宋体"/>
                <w:sz w:val="16"/>
              </w:rPr>
              <w:t>基本经费预算执行率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DAB916">
            <w:pPr>
              <w:jc w:val="center"/>
            </w:pPr>
            <w:r>
              <w:rPr>
                <w:rFonts w:ascii="宋体" w:hAnsi="宋体" w:eastAsia="宋体"/>
                <w:sz w:val="16"/>
              </w:rPr>
              <w:t>&lt;=404.86万元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3F6054">
            <w:pPr>
              <w:jc w:val="center"/>
            </w:pPr>
            <w:r>
              <w:rPr>
                <w:rFonts w:ascii="宋体" w:hAnsi="宋体" w:eastAsia="宋体"/>
                <w:sz w:val="16"/>
              </w:rPr>
              <w:t>2024年部门预算下达数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0ADF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285DDD">
            <w:pPr>
              <w:jc w:val="center"/>
            </w:pPr>
            <w:r>
              <w:rPr>
                <w:rFonts w:ascii="宋体" w:hAnsi="宋体" w:eastAsia="宋体"/>
                <w:sz w:val="16"/>
              </w:rPr>
              <w:t>404.86万元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BFD64">
            <w:pPr>
              <w:jc w:val="center"/>
            </w:pPr>
            <w:r>
              <w:rPr>
                <w:rFonts w:ascii="宋体" w:hAnsi="宋体" w:eastAsia="宋体"/>
                <w:sz w:val="16"/>
              </w:rPr>
              <w:t>20</w:t>
            </w:r>
          </w:p>
        </w:tc>
      </w:tr>
      <w:tr w14:paraId="422299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68019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71D77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B3417A">
            <w:pPr>
              <w:jc w:val="center"/>
            </w:pPr>
            <w:r>
              <w:rPr>
                <w:rFonts w:ascii="宋体" w:hAnsi="宋体" w:eastAsia="宋体"/>
                <w:sz w:val="16"/>
              </w:rPr>
              <w:t>项目经费成本控制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AE8108">
            <w:pPr>
              <w:jc w:val="center"/>
            </w:pPr>
            <w:r>
              <w:rPr>
                <w:rFonts w:ascii="宋体" w:hAnsi="宋体" w:eastAsia="宋体"/>
                <w:sz w:val="16"/>
              </w:rPr>
              <w:t>&lt;=425.48万元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5F539A">
            <w:pPr>
              <w:jc w:val="center"/>
            </w:pPr>
            <w:r>
              <w:rPr>
                <w:rFonts w:ascii="宋体" w:hAnsi="宋体" w:eastAsia="宋体"/>
                <w:sz w:val="16"/>
              </w:rPr>
              <w:t>2024年部门预算下达数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7610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1CF94">
            <w:pPr>
              <w:jc w:val="center"/>
            </w:pPr>
            <w:r>
              <w:rPr>
                <w:rFonts w:ascii="宋体" w:hAnsi="宋体" w:eastAsia="宋体"/>
                <w:sz w:val="16"/>
              </w:rPr>
              <w:t>425.48万元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8C48F">
            <w:pPr>
              <w:jc w:val="center"/>
            </w:pPr>
            <w:r>
              <w:rPr>
                <w:rFonts w:ascii="宋体" w:hAnsi="宋体" w:eastAsia="宋体"/>
                <w:sz w:val="16"/>
              </w:rPr>
              <w:t>20</w:t>
            </w:r>
          </w:p>
        </w:tc>
      </w:tr>
      <w:tr w14:paraId="143DCF4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B502E9">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48D1BD">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A7CBD1">
            <w:pPr>
              <w:jc w:val="center"/>
            </w:pPr>
            <w:r>
              <w:rPr>
                <w:rFonts w:ascii="宋体" w:hAnsi="宋体" w:eastAsia="宋体"/>
                <w:sz w:val="16"/>
              </w:rPr>
              <w:t>开展安全生产宣传场次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B765B">
            <w:pPr>
              <w:jc w:val="center"/>
            </w:pPr>
            <w:r>
              <w:rPr>
                <w:rFonts w:ascii="宋体" w:hAnsi="宋体" w:eastAsia="宋体"/>
                <w:sz w:val="16"/>
              </w:rPr>
              <w:t>&gt;=6次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A2AB7">
            <w:pPr>
              <w:jc w:val="center"/>
            </w:pPr>
            <w:r>
              <w:rPr>
                <w:rFonts w:ascii="宋体" w:hAnsi="宋体" w:eastAsia="宋体"/>
                <w:sz w:val="16"/>
              </w:rPr>
              <w:t>2024年宣传实施方案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C17B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B62BA3">
            <w:pPr>
              <w:jc w:val="center"/>
            </w:pPr>
            <w:r>
              <w:rPr>
                <w:rFonts w:ascii="宋体" w:hAnsi="宋体" w:eastAsia="宋体"/>
                <w:sz w:val="16"/>
              </w:rPr>
              <w:t>7次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E7AD8F">
            <w:pPr>
              <w:jc w:val="center"/>
            </w:pPr>
            <w:r>
              <w:rPr>
                <w:rFonts w:ascii="宋体" w:hAnsi="宋体" w:eastAsia="宋体"/>
                <w:sz w:val="16"/>
              </w:rPr>
              <w:t>10</w:t>
            </w:r>
          </w:p>
        </w:tc>
      </w:tr>
      <w:tr w14:paraId="55E732F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FDA5E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F0784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4A7C6C">
            <w:pPr>
              <w:jc w:val="center"/>
            </w:pPr>
            <w:r>
              <w:rPr>
                <w:rFonts w:ascii="宋体" w:hAnsi="宋体" w:eastAsia="宋体"/>
                <w:sz w:val="16"/>
              </w:rPr>
              <w:t>开展重点企业检查数量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C0FBF">
            <w:pPr>
              <w:jc w:val="center"/>
            </w:pPr>
            <w:r>
              <w:rPr>
                <w:rFonts w:ascii="宋体" w:hAnsi="宋体" w:eastAsia="宋体"/>
                <w:sz w:val="16"/>
              </w:rPr>
              <w:t>&gt;=50次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E7C010">
            <w:pPr>
              <w:jc w:val="center"/>
            </w:pPr>
            <w:r>
              <w:rPr>
                <w:rFonts w:ascii="宋体" w:hAnsi="宋体" w:eastAsia="宋体"/>
                <w:sz w:val="16"/>
              </w:rPr>
              <w:t>2024年执法工作计划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91C50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CE3829">
            <w:pPr>
              <w:jc w:val="center"/>
            </w:pPr>
            <w:r>
              <w:rPr>
                <w:rFonts w:ascii="宋体" w:hAnsi="宋体" w:eastAsia="宋体"/>
                <w:sz w:val="16"/>
              </w:rPr>
              <w:t>60次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46E3AC">
            <w:pPr>
              <w:jc w:val="center"/>
            </w:pPr>
            <w:r>
              <w:rPr>
                <w:rFonts w:ascii="宋体" w:hAnsi="宋体" w:eastAsia="宋体"/>
                <w:sz w:val="16"/>
              </w:rPr>
              <w:t>10</w:t>
            </w:r>
          </w:p>
        </w:tc>
      </w:tr>
      <w:tr w14:paraId="185425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94E3F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A9302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8B8090">
            <w:pPr>
              <w:jc w:val="center"/>
            </w:pPr>
            <w:r>
              <w:rPr>
                <w:rFonts w:ascii="宋体" w:hAnsi="宋体" w:eastAsia="宋体"/>
                <w:sz w:val="16"/>
              </w:rPr>
              <w:t>开展地震应急演练次数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CAD101">
            <w:pPr>
              <w:jc w:val="center"/>
            </w:pPr>
            <w:r>
              <w:rPr>
                <w:rFonts w:ascii="宋体" w:hAnsi="宋体" w:eastAsia="宋体"/>
                <w:sz w:val="16"/>
              </w:rPr>
              <w:t>&gt;=4次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29B65">
            <w:pPr>
              <w:jc w:val="center"/>
            </w:pPr>
            <w:r>
              <w:rPr>
                <w:rFonts w:ascii="宋体" w:hAnsi="宋体" w:eastAsia="宋体"/>
                <w:sz w:val="16"/>
              </w:rPr>
              <w:t>2024年应急演练计划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CBCB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361A5">
            <w:pPr>
              <w:jc w:val="center"/>
            </w:pPr>
            <w:r>
              <w:rPr>
                <w:rFonts w:ascii="宋体" w:hAnsi="宋体" w:eastAsia="宋体"/>
                <w:sz w:val="16"/>
              </w:rPr>
              <w: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7AC83">
            <w:pPr>
              <w:jc w:val="center"/>
            </w:pPr>
            <w:r>
              <w:rPr>
                <w:rFonts w:ascii="宋体" w:hAnsi="宋体" w:eastAsia="宋体"/>
                <w:sz w:val="16"/>
              </w:rPr>
              <w:t>20</w:t>
            </w:r>
          </w:p>
        </w:tc>
      </w:tr>
      <w:tr w14:paraId="7279845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EDE9E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2AF43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3B1860">
            <w:pPr>
              <w:jc w:val="center"/>
            </w:pPr>
            <w:r>
              <w:rPr>
                <w:rFonts w:ascii="宋体" w:hAnsi="宋体" w:eastAsia="宋体"/>
                <w:sz w:val="16"/>
              </w:rPr>
              <w:t>业务培训学习次数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4F668">
            <w:pPr>
              <w:jc w:val="center"/>
            </w:pPr>
            <w:r>
              <w:rPr>
                <w:rFonts w:ascii="宋体" w:hAnsi="宋体" w:eastAsia="宋体"/>
                <w:sz w:val="16"/>
              </w:rPr>
              <w:t>&gt;=3次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7702D9">
            <w:pPr>
              <w:jc w:val="center"/>
            </w:pPr>
            <w:r>
              <w:rPr>
                <w:rFonts w:ascii="宋体" w:hAnsi="宋体" w:eastAsia="宋体"/>
                <w:sz w:val="16"/>
              </w:rPr>
              <w:t>和田县应急管理局2024年教育培训表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2414E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D9603">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DAF9AE">
            <w:pPr>
              <w:jc w:val="center"/>
            </w:pPr>
            <w:r>
              <w:rPr>
                <w:rFonts w:ascii="宋体" w:hAnsi="宋体" w:eastAsia="宋体"/>
                <w:sz w:val="16"/>
              </w:rPr>
              <w:t>10</w:t>
            </w:r>
          </w:p>
        </w:tc>
      </w:tr>
    </w:tbl>
    <w:p w14:paraId="6C5E334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4714501">
        <w:tblPrEx>
          <w:tblCellMar>
            <w:top w:w="0" w:type="dxa"/>
            <w:left w:w="108" w:type="dxa"/>
            <w:bottom w:w="0" w:type="dxa"/>
            <w:right w:w="108" w:type="dxa"/>
          </w:tblCellMar>
        </w:tblPrEx>
        <w:tc>
          <w:tcPr>
            <w:tcW w:w="8847" w:type="dxa"/>
            <w:gridSpan w:val="9"/>
            <w:vAlign w:val="center"/>
          </w:tcPr>
          <w:p w14:paraId="169ED7A1">
            <w:pPr>
              <w:jc w:val="center"/>
            </w:pPr>
            <w:r>
              <w:rPr>
                <w:rFonts w:ascii="宋体" w:hAnsi="宋体" w:eastAsia="宋体"/>
                <w:sz w:val="24"/>
              </w:rPr>
              <w:t>项目支出绩效自评表</w:t>
            </w:r>
          </w:p>
        </w:tc>
      </w:tr>
      <w:tr w14:paraId="3ABF3DEF">
        <w:tblPrEx>
          <w:tblCellMar>
            <w:top w:w="0" w:type="dxa"/>
            <w:left w:w="108" w:type="dxa"/>
            <w:bottom w:w="0" w:type="dxa"/>
            <w:right w:w="108" w:type="dxa"/>
          </w:tblCellMar>
        </w:tblPrEx>
        <w:tc>
          <w:tcPr>
            <w:tcW w:w="8847" w:type="dxa"/>
            <w:gridSpan w:val="9"/>
            <w:vAlign w:val="center"/>
          </w:tcPr>
          <w:p w14:paraId="26C6C897">
            <w:pPr>
              <w:jc w:val="center"/>
            </w:pPr>
            <w:r>
              <w:rPr>
                <w:rFonts w:ascii="宋体" w:hAnsi="宋体" w:eastAsia="宋体"/>
                <w:sz w:val="24"/>
              </w:rPr>
              <w:t>(2024年度)</w:t>
            </w:r>
          </w:p>
        </w:tc>
      </w:tr>
      <w:tr w14:paraId="3BC693F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8ADDD">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C38F2A3">
            <w:pPr>
              <w:jc w:val="center"/>
            </w:pPr>
            <w:r>
              <w:rPr>
                <w:rFonts w:ascii="宋体" w:hAnsi="宋体" w:eastAsia="宋体"/>
                <w:sz w:val="16"/>
              </w:rPr>
              <w:t>2024年中央自然灾害救助资金预算（冬春临时生活困难救助资金）</w:t>
            </w:r>
          </w:p>
        </w:tc>
      </w:tr>
      <w:tr w14:paraId="7EE3352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A020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7E902C6">
            <w:pPr>
              <w:jc w:val="center"/>
            </w:pPr>
            <w:r>
              <w:rPr>
                <w:rFonts w:ascii="宋体" w:hAnsi="宋体" w:eastAsia="宋体"/>
                <w:sz w:val="16"/>
              </w:rPr>
              <w:t>和田县应急管理局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1FF3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C410C0E">
            <w:pPr>
              <w:jc w:val="center"/>
            </w:pPr>
            <w:r>
              <w:rPr>
                <w:rFonts w:ascii="宋体" w:hAnsi="宋体" w:eastAsia="宋体"/>
                <w:sz w:val="16"/>
              </w:rPr>
              <w:t>和田县应急管理局</w:t>
            </w:r>
          </w:p>
        </w:tc>
      </w:tr>
      <w:tr w14:paraId="5F78CF4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BAD82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9E073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567D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F5D7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A09B2">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27F2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4FBE6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1CB4D">
            <w:pPr>
              <w:jc w:val="center"/>
            </w:pPr>
            <w:r>
              <w:rPr>
                <w:rFonts w:ascii="宋体" w:hAnsi="宋体" w:eastAsia="宋体"/>
                <w:sz w:val="16"/>
              </w:rPr>
              <w:t>得分</w:t>
            </w:r>
          </w:p>
        </w:tc>
      </w:tr>
      <w:tr w14:paraId="0822F13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97D05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47444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C2978F">
            <w:pPr>
              <w:jc w:val="center"/>
            </w:pPr>
            <w:r>
              <w:rPr>
                <w:rFonts w:ascii="宋体" w:hAnsi="宋体" w:eastAsia="宋体"/>
                <w:sz w:val="16"/>
              </w:rPr>
              <w:t>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8CD1D5">
            <w:pPr>
              <w:jc w:val="center"/>
            </w:pPr>
            <w:r>
              <w:rPr>
                <w:rFonts w:ascii="宋体" w:hAnsi="宋体" w:eastAsia="宋体"/>
                <w:sz w:val="16"/>
              </w:rPr>
              <w:t>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6E3FE7">
            <w:pPr>
              <w:jc w:val="center"/>
            </w:pPr>
            <w:r>
              <w:rPr>
                <w:rFonts w:ascii="宋体" w:hAnsi="宋体" w:eastAsia="宋体"/>
                <w:sz w:val="16"/>
              </w:rPr>
              <w:t>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F5AFC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95129">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9A55EF">
            <w:pPr>
              <w:jc w:val="center"/>
            </w:pPr>
            <w:r>
              <w:rPr>
                <w:rFonts w:ascii="宋体" w:hAnsi="宋体" w:eastAsia="宋体"/>
                <w:sz w:val="16"/>
              </w:rPr>
              <w:t>10.00分</w:t>
            </w:r>
          </w:p>
        </w:tc>
      </w:tr>
      <w:tr w14:paraId="0287D2D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B761A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13EDC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42827">
            <w:pPr>
              <w:jc w:val="center"/>
            </w:pPr>
            <w:r>
              <w:rPr>
                <w:rFonts w:ascii="宋体" w:hAnsi="宋体" w:eastAsia="宋体"/>
                <w:sz w:val="16"/>
              </w:rPr>
              <w:t>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58DD0">
            <w:pPr>
              <w:jc w:val="center"/>
            </w:pPr>
            <w:r>
              <w:rPr>
                <w:rFonts w:ascii="宋体" w:hAnsi="宋体" w:eastAsia="宋体"/>
                <w:sz w:val="16"/>
              </w:rPr>
              <w:t>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C33C41">
            <w:pPr>
              <w:jc w:val="center"/>
            </w:pPr>
            <w:r>
              <w:rPr>
                <w:rFonts w:ascii="宋体" w:hAnsi="宋体" w:eastAsia="宋体"/>
                <w:sz w:val="16"/>
              </w:rPr>
              <w:t>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90F0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1039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C242FC">
            <w:pPr>
              <w:jc w:val="center"/>
            </w:pPr>
            <w:r>
              <w:rPr>
                <w:rFonts w:ascii="宋体" w:hAnsi="宋体" w:eastAsia="宋体"/>
                <w:sz w:val="16"/>
              </w:rPr>
              <w:t>—</w:t>
            </w:r>
          </w:p>
        </w:tc>
      </w:tr>
      <w:tr w14:paraId="6CAAB6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CB2CC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865D60">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F3F0B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0D17F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45F5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14279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790B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DABFE">
            <w:pPr>
              <w:jc w:val="center"/>
            </w:pPr>
            <w:r>
              <w:rPr>
                <w:rFonts w:ascii="宋体" w:hAnsi="宋体" w:eastAsia="宋体"/>
                <w:sz w:val="16"/>
              </w:rPr>
              <w:t>—</w:t>
            </w:r>
          </w:p>
        </w:tc>
      </w:tr>
      <w:tr w14:paraId="182709F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C363A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92AC9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A878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68F0F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4CFE4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A0E57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F843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83960">
            <w:pPr>
              <w:jc w:val="center"/>
            </w:pPr>
            <w:r>
              <w:rPr>
                <w:rFonts w:ascii="宋体" w:hAnsi="宋体" w:eastAsia="宋体"/>
                <w:sz w:val="16"/>
              </w:rPr>
              <w:t>—</w:t>
            </w:r>
          </w:p>
        </w:tc>
      </w:tr>
      <w:tr w14:paraId="3CFE9F3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AC5B3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84F183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F833C1">
            <w:pPr>
              <w:jc w:val="center"/>
            </w:pPr>
            <w:r>
              <w:rPr>
                <w:rFonts w:ascii="宋体" w:hAnsi="宋体" w:eastAsia="宋体"/>
                <w:sz w:val="16"/>
              </w:rPr>
              <w:t>实际完成情况</w:t>
            </w:r>
          </w:p>
        </w:tc>
      </w:tr>
      <w:tr w14:paraId="0F0B1C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3917CE"/>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20B95D0">
            <w:pPr>
              <w:jc w:val="both"/>
            </w:pPr>
            <w:r>
              <w:rPr>
                <w:rFonts w:ascii="宋体" w:hAnsi="宋体" w:eastAsia="宋体"/>
                <w:sz w:val="16"/>
              </w:rPr>
              <w:t>目标1：切实解决2024年6月极端天气强降雨42名受灾人员的生活保障。</w:t>
            </w:r>
            <w:r>
              <w:rPr>
                <w:rFonts w:ascii="宋体" w:hAnsi="宋体" w:eastAsia="宋体"/>
                <w:sz w:val="16"/>
              </w:rPr>
              <w:br w:type="textWrapping"/>
            </w:r>
            <w:r>
              <w:rPr>
                <w:rFonts w:ascii="宋体" w:hAnsi="宋体" w:eastAsia="宋体"/>
                <w:sz w:val="16"/>
              </w:rPr>
              <w:t>目标2：通过项目的实施，确保受灾群众安全温暖过冬过节，帮助受灾群众克服冬春生活困难。</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4918183">
            <w:pPr>
              <w:jc w:val="both"/>
            </w:pPr>
            <w:r>
              <w:rPr>
                <w:rFonts w:ascii="宋体" w:hAnsi="宋体" w:eastAsia="宋体"/>
                <w:sz w:val="16"/>
              </w:rPr>
              <w:t>本项目截止至2024年12月31日，已精准发放至喀什塔什乡13户42名受灾人员的生活保障。资金发放准确率达到100%，有效缓解了喀什塔什乡受灾群众冬春期间面临的生活困难，保障其温暖过冬、安全度春。</w:t>
            </w:r>
          </w:p>
        </w:tc>
      </w:tr>
      <w:tr w14:paraId="207E971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51C82F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E8F0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4EC83">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A164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C0A6C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67CD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74DF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CEF91D">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85352C">
            <w:pPr>
              <w:jc w:val="center"/>
            </w:pPr>
            <w:r>
              <w:rPr>
                <w:rFonts w:ascii="宋体" w:hAnsi="宋体" w:eastAsia="宋体"/>
                <w:sz w:val="16"/>
              </w:rPr>
              <w:t>偏差原因分析及改进措施</w:t>
            </w:r>
          </w:p>
        </w:tc>
      </w:tr>
      <w:tr w14:paraId="75AE00A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993622">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9892DE">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06C87">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6D882B">
            <w:pPr>
              <w:jc w:val="center"/>
            </w:pPr>
            <w:r>
              <w:rPr>
                <w:rFonts w:ascii="宋体" w:hAnsi="宋体" w:eastAsia="宋体"/>
                <w:sz w:val="16"/>
              </w:rPr>
              <w:t>冬春期间受灾困难群众救助数量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185C9">
            <w:pPr>
              <w:jc w:val="center"/>
            </w:pPr>
            <w:r>
              <w:rPr>
                <w:rFonts w:ascii="宋体" w:hAnsi="宋体" w:eastAsia="宋体"/>
                <w:sz w:val="16"/>
              </w:rPr>
              <w:t>&gt;=42人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A57DA6">
            <w:pPr>
              <w:jc w:val="center"/>
            </w:pPr>
            <w:r>
              <w:rPr>
                <w:rFonts w:ascii="宋体" w:hAnsi="宋体" w:eastAsia="宋体"/>
                <w:sz w:val="16"/>
              </w:rPr>
              <w:t>=42人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4CBD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8E1B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3CF18">
            <w:pPr>
              <w:jc w:val="center"/>
            </w:pPr>
          </w:p>
        </w:tc>
      </w:tr>
      <w:tr w14:paraId="5EA3585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ED0F9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D81E26"/>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1F9152">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B24543">
            <w:pPr>
              <w:jc w:val="center"/>
            </w:pPr>
            <w:r>
              <w:rPr>
                <w:rFonts w:ascii="宋体" w:hAnsi="宋体" w:eastAsia="宋体"/>
                <w:sz w:val="16"/>
              </w:rPr>
              <w:t>冬春救灾资金下拨率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1C56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5DF4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F5552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3552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9B0D7">
            <w:pPr>
              <w:jc w:val="center"/>
            </w:pPr>
          </w:p>
        </w:tc>
      </w:tr>
      <w:tr w14:paraId="7A6D45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2389C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5CB22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A682B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005B9">
            <w:pPr>
              <w:jc w:val="center"/>
            </w:pPr>
            <w:r>
              <w:rPr>
                <w:rFonts w:ascii="宋体" w:hAnsi="宋体" w:eastAsia="宋体"/>
                <w:sz w:val="16"/>
              </w:rPr>
              <w:t>冬春救灾资金使用率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9BBB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CE2BF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D8642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AFF2B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9EEFC8">
            <w:pPr>
              <w:jc w:val="center"/>
            </w:pPr>
          </w:p>
        </w:tc>
      </w:tr>
      <w:tr w14:paraId="65A599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AC1BC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78D96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0567B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141BE">
            <w:pPr>
              <w:jc w:val="center"/>
            </w:pPr>
            <w:r>
              <w:rPr>
                <w:rFonts w:ascii="宋体" w:hAnsi="宋体" w:eastAsia="宋体"/>
                <w:sz w:val="16"/>
              </w:rPr>
              <w:t>县级应急管理部门收到冬春救助资金后发放至救助对象所需时间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30C6B1">
            <w:pPr>
              <w:jc w:val="center"/>
            </w:pPr>
            <w:r>
              <w:rPr>
                <w:rFonts w:ascii="宋体" w:hAnsi="宋体" w:eastAsia="宋体"/>
                <w:sz w:val="16"/>
              </w:rPr>
              <w:t>2025年1月15日前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D3A06">
            <w:pPr>
              <w:jc w:val="center"/>
            </w:pPr>
            <w:r>
              <w:rPr>
                <w:rFonts w:ascii="宋体" w:hAnsi="宋体" w:eastAsia="宋体"/>
                <w:sz w:val="16"/>
              </w:rPr>
              <w:t>=2025年1月17日前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C73DC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8C4EA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556CCC">
            <w:pPr>
              <w:jc w:val="center"/>
            </w:pPr>
            <w:r>
              <w:rPr>
                <w:rFonts w:ascii="宋体" w:hAnsi="宋体" w:eastAsia="宋体"/>
                <w:sz w:val="16"/>
              </w:rPr>
              <w:t>偏差原因是县财政下拨资金时间晚于计划时间；整改措施：以此为戒，以后保证在项目计划时间内完成。</w:t>
            </w:r>
          </w:p>
        </w:tc>
      </w:tr>
      <w:tr w14:paraId="773109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7DF54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EE579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687EB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43CBC">
            <w:pPr>
              <w:jc w:val="center"/>
            </w:pPr>
            <w:r>
              <w:rPr>
                <w:rFonts w:ascii="宋体" w:hAnsi="宋体" w:eastAsia="宋体"/>
                <w:sz w:val="16"/>
              </w:rPr>
              <w:t>地级财政、应急管理部门收到冬春救助资金下拨至县级财政、应急管理部门所需时间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C059D9">
            <w:pPr>
              <w:jc w:val="center"/>
            </w:pPr>
            <w:r>
              <w:rPr>
                <w:rFonts w:ascii="宋体" w:hAnsi="宋体" w:eastAsia="宋体"/>
                <w:sz w:val="16"/>
              </w:rPr>
              <w:t>&lt;=5日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1169ED">
            <w:pPr>
              <w:jc w:val="center"/>
            </w:pPr>
            <w:r>
              <w:rPr>
                <w:rFonts w:ascii="宋体" w:hAnsi="宋体" w:eastAsia="宋体"/>
                <w:sz w:val="16"/>
              </w:rPr>
              <w:t>=5日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7EB5A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7533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C9220">
            <w:pPr>
              <w:jc w:val="center"/>
            </w:pPr>
            <w:r>
              <w:rPr>
                <w:rFonts w:ascii="宋体" w:hAnsi="宋体" w:eastAsia="宋体"/>
                <w:sz w:val="16"/>
              </w:rPr>
              <w:t>偏差原因是县财政下拨资金时间晚于计划时间；整改措施：以此为戒，以后保证在项目计划时间内完成。地级财政、应急管理部门收到冬春救助资金下拨至县级财政、应急管理部门所需时间</w:t>
            </w:r>
            <w:r>
              <w:rPr>
                <w:rFonts w:ascii="宋体" w:hAnsi="宋体" w:eastAsia="宋体"/>
                <w:sz w:val="16"/>
              </w:rPr>
              <w:tab/>
            </w:r>
            <w:r>
              <w:rPr>
                <w:rFonts w:ascii="宋体" w:hAnsi="宋体" w:eastAsia="宋体"/>
                <w:sz w:val="16"/>
              </w:rPr>
              <w:tab/>
            </w:r>
            <w:r>
              <w:rPr>
                <w:rFonts w:ascii="宋体" w:hAnsi="宋体" w:eastAsia="宋体"/>
                <w:sz w:val="16"/>
              </w:rPr>
              <w:t>100.00%</w:t>
            </w:r>
            <w:r>
              <w:rPr>
                <w:rFonts w:ascii="宋体" w:hAnsi="宋体" w:eastAsia="宋体"/>
                <w:sz w:val="16"/>
              </w:rPr>
              <w:tab/>
            </w:r>
          </w:p>
        </w:tc>
      </w:tr>
      <w:tr w14:paraId="7C0162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B9F60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EC4290">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D9F25">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F36D4C">
            <w:pPr>
              <w:jc w:val="center"/>
            </w:pPr>
            <w:r>
              <w:rPr>
                <w:rFonts w:ascii="宋体" w:hAnsi="宋体" w:eastAsia="宋体"/>
                <w:sz w:val="16"/>
              </w:rPr>
              <w:t>县级救助标准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3ADA76">
            <w:pPr>
              <w:jc w:val="center"/>
            </w:pPr>
            <w:r>
              <w:rPr>
                <w:rFonts w:ascii="宋体" w:hAnsi="宋体" w:eastAsia="宋体"/>
                <w:sz w:val="16"/>
              </w:rPr>
              <w:t>&lt;=375元/人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0950A">
            <w:pPr>
              <w:jc w:val="center"/>
            </w:pPr>
            <w:r>
              <w:rPr>
                <w:rFonts w:ascii="宋体" w:hAnsi="宋体" w:eastAsia="宋体"/>
                <w:sz w:val="16"/>
              </w:rPr>
              <w:t>=375元/人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6C25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D49DA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17E9DD">
            <w:pPr>
              <w:jc w:val="center"/>
            </w:pPr>
          </w:p>
        </w:tc>
      </w:tr>
      <w:tr w14:paraId="08EFF58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2296B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FD001B">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E41BD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ED406">
            <w:pPr>
              <w:jc w:val="center"/>
            </w:pPr>
            <w:r>
              <w:rPr>
                <w:rFonts w:ascii="宋体" w:hAnsi="宋体" w:eastAsia="宋体"/>
                <w:sz w:val="16"/>
              </w:rPr>
              <w:t>帮助受灾群众克服冬春生活困难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8AFA2">
            <w:pPr>
              <w:jc w:val="center"/>
            </w:pPr>
            <w:r>
              <w:rPr>
                <w:rFonts w:ascii="宋体" w:hAnsi="宋体" w:eastAsia="宋体"/>
                <w:sz w:val="16"/>
              </w:rPr>
              <w:t>妥善保障基本生活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EEE3EF">
            <w:pPr>
              <w:jc w:val="center"/>
            </w:pPr>
            <w:r>
              <w:rPr>
                <w:rFonts w:ascii="宋体" w:hAnsi="宋体" w:eastAsia="宋体"/>
                <w:sz w:val="16"/>
              </w:rPr>
              <w:t>妥善保障基本生活</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48C1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0F88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9D015">
            <w:pPr>
              <w:jc w:val="center"/>
            </w:pPr>
          </w:p>
        </w:tc>
      </w:tr>
      <w:tr w14:paraId="0EDC66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06D44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91CC7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9E7C6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B6269">
            <w:pPr>
              <w:jc w:val="center"/>
            </w:pPr>
            <w:r>
              <w:rPr>
                <w:rFonts w:ascii="宋体" w:hAnsi="宋体" w:eastAsia="宋体"/>
                <w:sz w:val="16"/>
              </w:rPr>
              <w:t>发生重大负面舆情和事件次数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F2EEF">
            <w:pPr>
              <w:jc w:val="center"/>
            </w:pPr>
            <w:r>
              <w:rPr>
                <w:rFonts w:ascii="宋体" w:hAnsi="宋体" w:eastAsia="宋体"/>
                <w:sz w:val="16"/>
              </w:rPr>
              <w:t>&lt;=1次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A5771">
            <w:pPr>
              <w:jc w:val="center"/>
            </w:pPr>
            <w:r>
              <w:rPr>
                <w:rFonts w:ascii="宋体" w:hAnsi="宋体" w:eastAsia="宋体"/>
                <w:sz w:val="16"/>
              </w:rPr>
              <w:t>=0次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E9F45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2F7F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13BD56">
            <w:pPr>
              <w:jc w:val="center"/>
            </w:pPr>
          </w:p>
        </w:tc>
      </w:tr>
      <w:tr w14:paraId="47ED7F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87950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9D03E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A5398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5C651">
            <w:pPr>
              <w:jc w:val="center"/>
            </w:pPr>
            <w:r>
              <w:rPr>
                <w:rFonts w:ascii="宋体" w:hAnsi="宋体" w:eastAsia="宋体"/>
                <w:sz w:val="16"/>
              </w:rPr>
              <w:t>受灾群众投诉率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7F6F0">
            <w:pPr>
              <w:jc w:val="center"/>
            </w:pPr>
            <w:r>
              <w:rPr>
                <w:rFonts w:ascii="宋体" w:hAnsi="宋体" w:eastAsia="宋体"/>
                <w:sz w:val="16"/>
              </w:rPr>
              <w:t>&lt;=0.1%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098FE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DDDE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2075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383DA">
            <w:pPr>
              <w:jc w:val="center"/>
            </w:pPr>
          </w:p>
        </w:tc>
      </w:tr>
      <w:tr w14:paraId="6D2E93F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8A37E9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1CFA38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DF22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601298">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E3CF80A"/>
        </w:tc>
      </w:tr>
    </w:tbl>
    <w:p w14:paraId="0A0D1C8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FB7BDF2">
        <w:tblPrEx>
          <w:tblCellMar>
            <w:top w:w="0" w:type="dxa"/>
            <w:left w:w="108" w:type="dxa"/>
            <w:bottom w:w="0" w:type="dxa"/>
            <w:right w:w="108" w:type="dxa"/>
          </w:tblCellMar>
        </w:tblPrEx>
        <w:tc>
          <w:tcPr>
            <w:tcW w:w="8847" w:type="dxa"/>
            <w:gridSpan w:val="9"/>
            <w:vAlign w:val="center"/>
          </w:tcPr>
          <w:p w14:paraId="1DAC599F">
            <w:pPr>
              <w:jc w:val="center"/>
            </w:pPr>
            <w:r>
              <w:rPr>
                <w:rFonts w:ascii="宋体" w:hAnsi="宋体" w:eastAsia="宋体"/>
                <w:sz w:val="24"/>
              </w:rPr>
              <w:t>项目支出绩效自评表</w:t>
            </w:r>
          </w:p>
        </w:tc>
      </w:tr>
      <w:tr w14:paraId="369C596A">
        <w:tblPrEx>
          <w:tblCellMar>
            <w:top w:w="0" w:type="dxa"/>
            <w:left w:w="108" w:type="dxa"/>
            <w:bottom w:w="0" w:type="dxa"/>
            <w:right w:w="108" w:type="dxa"/>
          </w:tblCellMar>
        </w:tblPrEx>
        <w:tc>
          <w:tcPr>
            <w:tcW w:w="8847" w:type="dxa"/>
            <w:gridSpan w:val="9"/>
            <w:vAlign w:val="center"/>
          </w:tcPr>
          <w:p w14:paraId="2A7CB128">
            <w:pPr>
              <w:jc w:val="center"/>
            </w:pPr>
            <w:r>
              <w:rPr>
                <w:rFonts w:ascii="宋体" w:hAnsi="宋体" w:eastAsia="宋体"/>
                <w:sz w:val="24"/>
              </w:rPr>
              <w:t>(2024年度)</w:t>
            </w:r>
          </w:p>
        </w:tc>
      </w:tr>
      <w:tr w14:paraId="2CB4657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4C1B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A0F1BE6">
            <w:pPr>
              <w:jc w:val="center"/>
            </w:pPr>
            <w:r>
              <w:rPr>
                <w:rFonts w:ascii="宋体" w:hAnsi="宋体" w:eastAsia="宋体"/>
                <w:sz w:val="16"/>
              </w:rPr>
              <w:t>2024年安全生产保障资金</w:t>
            </w:r>
          </w:p>
        </w:tc>
      </w:tr>
      <w:tr w14:paraId="3D333C3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459832">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4783D77">
            <w:pPr>
              <w:jc w:val="center"/>
            </w:pPr>
            <w:r>
              <w:rPr>
                <w:rFonts w:ascii="宋体" w:hAnsi="宋体" w:eastAsia="宋体"/>
                <w:sz w:val="16"/>
              </w:rPr>
              <w:t>和田县应急管理局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3E1B4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5E2F2FB">
            <w:pPr>
              <w:jc w:val="center"/>
            </w:pPr>
            <w:r>
              <w:rPr>
                <w:rFonts w:ascii="宋体" w:hAnsi="宋体" w:eastAsia="宋体"/>
                <w:sz w:val="16"/>
              </w:rPr>
              <w:t>和田县应急管理局</w:t>
            </w:r>
          </w:p>
        </w:tc>
      </w:tr>
      <w:tr w14:paraId="7F514FD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D2C71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0C8F9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D032B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8D204">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BBF9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C7A39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2409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A58F88">
            <w:pPr>
              <w:jc w:val="center"/>
            </w:pPr>
            <w:r>
              <w:rPr>
                <w:rFonts w:ascii="宋体" w:hAnsi="宋体" w:eastAsia="宋体"/>
                <w:sz w:val="16"/>
              </w:rPr>
              <w:t>得分</w:t>
            </w:r>
          </w:p>
        </w:tc>
      </w:tr>
      <w:tr w14:paraId="29D628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C89AB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FAEFA6">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49DB79">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F7F679">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5791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9AB8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6D59F">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F20CE">
            <w:pPr>
              <w:jc w:val="center"/>
            </w:pPr>
            <w:r>
              <w:rPr>
                <w:rFonts w:ascii="宋体" w:hAnsi="宋体" w:eastAsia="宋体"/>
                <w:sz w:val="16"/>
              </w:rPr>
              <w:t>0.00分</w:t>
            </w:r>
          </w:p>
        </w:tc>
      </w:tr>
      <w:tr w14:paraId="1251C02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DF2BD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ED9CC3">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7062F">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012FD">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BA43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62B1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B3964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9540B">
            <w:pPr>
              <w:jc w:val="center"/>
            </w:pPr>
            <w:r>
              <w:rPr>
                <w:rFonts w:ascii="宋体" w:hAnsi="宋体" w:eastAsia="宋体"/>
                <w:sz w:val="16"/>
              </w:rPr>
              <w:t>—</w:t>
            </w:r>
          </w:p>
        </w:tc>
      </w:tr>
      <w:tr w14:paraId="349827E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46FA8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EE7F77">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7FB63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D5BD6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D4C1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3B90A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05C7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11210">
            <w:pPr>
              <w:jc w:val="center"/>
            </w:pPr>
            <w:r>
              <w:rPr>
                <w:rFonts w:ascii="宋体" w:hAnsi="宋体" w:eastAsia="宋体"/>
                <w:sz w:val="16"/>
              </w:rPr>
              <w:t>—</w:t>
            </w:r>
          </w:p>
        </w:tc>
      </w:tr>
      <w:tr w14:paraId="2D0CEBA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DE771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038543">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9A005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70B1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EA6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8402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CE9F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9BB86D">
            <w:pPr>
              <w:jc w:val="center"/>
            </w:pPr>
            <w:r>
              <w:rPr>
                <w:rFonts w:ascii="宋体" w:hAnsi="宋体" w:eastAsia="宋体"/>
                <w:sz w:val="16"/>
              </w:rPr>
              <w:t>—</w:t>
            </w:r>
          </w:p>
        </w:tc>
      </w:tr>
      <w:tr w14:paraId="65D2D35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A9265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431179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F11DC5">
            <w:pPr>
              <w:jc w:val="center"/>
            </w:pPr>
            <w:r>
              <w:rPr>
                <w:rFonts w:ascii="宋体" w:hAnsi="宋体" w:eastAsia="宋体"/>
                <w:sz w:val="16"/>
              </w:rPr>
              <w:t>实际完成情况</w:t>
            </w:r>
          </w:p>
        </w:tc>
      </w:tr>
      <w:tr w14:paraId="6902D2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7E564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26FDBED">
            <w:pPr>
              <w:jc w:val="both"/>
            </w:pPr>
            <w:r>
              <w:rPr>
                <w:rFonts w:ascii="宋体" w:hAnsi="宋体" w:eastAsia="宋体"/>
                <w:sz w:val="16"/>
              </w:rPr>
              <w:t>目标1：购置消防救援器材1批。</w:t>
            </w:r>
            <w:r>
              <w:rPr>
                <w:rFonts w:ascii="宋体" w:hAnsi="宋体" w:eastAsia="宋体"/>
                <w:sz w:val="16"/>
              </w:rPr>
              <w:br w:type="textWrapping"/>
            </w:r>
            <w:r>
              <w:rPr>
                <w:rFonts w:ascii="宋体" w:hAnsi="宋体" w:eastAsia="宋体"/>
                <w:sz w:val="16"/>
              </w:rPr>
              <w:t>目标2：通过项目的实施加强我县安全生产工作保障力度，确保安全生产投入到位，有效防范安全生产隐患，为推动全县安全生产工作有效开展提供了财力保障，切实保障了全县安全发展。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CE04B9E">
            <w:pPr>
              <w:jc w:val="both"/>
            </w:pPr>
            <w:r>
              <w:rPr>
                <w:rFonts w:ascii="宋体" w:hAnsi="宋体" w:eastAsia="宋体"/>
                <w:sz w:val="16"/>
              </w:rPr>
              <w:t>本项目截止至2024年12月31日，该项目推进过程中执行细则遇到适配问题，修改实施方案延误了项目实施，所以项目暂未实施。</w:t>
            </w:r>
          </w:p>
        </w:tc>
      </w:tr>
      <w:tr w14:paraId="3EBCDBC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2F5B5E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618E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A710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2B54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8AE0D">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F7101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3005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FEFD3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406EE6">
            <w:pPr>
              <w:jc w:val="center"/>
            </w:pPr>
            <w:r>
              <w:rPr>
                <w:rFonts w:ascii="宋体" w:hAnsi="宋体" w:eastAsia="宋体"/>
                <w:sz w:val="16"/>
              </w:rPr>
              <w:t>偏差原因分析及改进措施</w:t>
            </w:r>
          </w:p>
        </w:tc>
      </w:tr>
      <w:tr w14:paraId="65E5140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2C826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AD4E47">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17B990">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E695A4">
            <w:pPr>
              <w:jc w:val="center"/>
            </w:pPr>
            <w:r>
              <w:rPr>
                <w:rFonts w:ascii="宋体" w:hAnsi="宋体" w:eastAsia="宋体"/>
                <w:sz w:val="16"/>
              </w:rPr>
              <w:t>采购消防救援器材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487DD">
            <w:pPr>
              <w:jc w:val="center"/>
            </w:pPr>
            <w:r>
              <w:rPr>
                <w:rFonts w:ascii="宋体" w:hAnsi="宋体" w:eastAsia="宋体"/>
                <w:sz w:val="16"/>
              </w:rPr>
              <w:t>&gt;=1批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C5F3C">
            <w:pPr>
              <w:jc w:val="center"/>
            </w:pPr>
            <w:r>
              <w:rPr>
                <w:rFonts w:ascii="宋体" w:hAnsi="宋体" w:eastAsia="宋体"/>
                <w:sz w:val="16"/>
              </w:rPr>
              <w:t>=0批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EF193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A191C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C563D">
            <w:pPr>
              <w:jc w:val="center"/>
            </w:pPr>
            <w:r>
              <w:rPr>
                <w:rFonts w:ascii="宋体" w:hAnsi="宋体" w:eastAsia="宋体"/>
                <w:sz w:val="16"/>
              </w:rPr>
              <w:t>偏差原因是：该项目推进过程中执行细则遇到适配问题，修改实施方案延误了项目实施；整改措施：成立项目小组，配置专人负责全程督办。</w:t>
            </w:r>
          </w:p>
        </w:tc>
      </w:tr>
      <w:tr w14:paraId="1400EA7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24B26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E7F72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515CB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155F86">
            <w:pPr>
              <w:jc w:val="center"/>
            </w:pPr>
            <w:r>
              <w:rPr>
                <w:rFonts w:ascii="宋体" w:hAnsi="宋体" w:eastAsia="宋体"/>
                <w:sz w:val="16"/>
              </w:rPr>
              <w:t>器材购置验收合格率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E83C7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95621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53A2C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9C5C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A7F9A">
            <w:pPr>
              <w:jc w:val="center"/>
            </w:pPr>
            <w:r>
              <w:rPr>
                <w:rFonts w:ascii="宋体" w:hAnsi="宋体" w:eastAsia="宋体"/>
                <w:sz w:val="16"/>
              </w:rPr>
              <w:t>偏差原因是：该项目推进过程中执行细则遇到适配问题，修改实施方案延误了项目实施；整改措施：成立项目小组，配置专人负责全程督办。</w:t>
            </w:r>
          </w:p>
        </w:tc>
      </w:tr>
      <w:tr w14:paraId="35C3108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BBD0B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D2FEF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CBB86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46885">
            <w:pPr>
              <w:jc w:val="center"/>
            </w:pPr>
            <w:r>
              <w:rPr>
                <w:rFonts w:ascii="宋体" w:hAnsi="宋体" w:eastAsia="宋体"/>
                <w:sz w:val="16"/>
              </w:rPr>
              <w:t>资金使用合规率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0BAC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335DA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370B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1CBC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129FD">
            <w:pPr>
              <w:jc w:val="center"/>
            </w:pPr>
            <w:r>
              <w:rPr>
                <w:rFonts w:ascii="宋体" w:hAnsi="宋体" w:eastAsia="宋体"/>
                <w:sz w:val="16"/>
              </w:rPr>
              <w:t>偏差原因是：该项目推进过程中执行细则遇到适配问题，修改实施方案延误了项目实施；整改措施：成立项目小组，配置专人负责全程督办。</w:t>
            </w:r>
          </w:p>
        </w:tc>
      </w:tr>
      <w:tr w14:paraId="0213B2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0A565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47F4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5E68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6ED4EA">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683B0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484C3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15E1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F1B37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01128">
            <w:pPr>
              <w:jc w:val="center"/>
            </w:pPr>
            <w:r>
              <w:rPr>
                <w:rFonts w:ascii="宋体" w:hAnsi="宋体" w:eastAsia="宋体"/>
                <w:sz w:val="16"/>
              </w:rPr>
              <w:t>偏差原因是：该项目推进过程中执行细则遇到适配问题，修改实施方案延误了项目实施；整改措施：成立项目小组，配置专人负责全程督办。</w:t>
            </w:r>
          </w:p>
        </w:tc>
      </w:tr>
      <w:tr w14:paraId="3FA5882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9CF9A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F7E0DA">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DA06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50FBA">
            <w:pPr>
              <w:jc w:val="center"/>
            </w:pPr>
            <w:r>
              <w:rPr>
                <w:rFonts w:ascii="宋体" w:hAnsi="宋体" w:eastAsia="宋体"/>
                <w:sz w:val="16"/>
              </w:rPr>
              <w:t>消防救援器材购置费用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1064C">
            <w:pPr>
              <w:jc w:val="center"/>
            </w:pPr>
            <w:r>
              <w:rPr>
                <w:rFonts w:ascii="宋体" w:hAnsi="宋体" w:eastAsia="宋体"/>
                <w:sz w:val="16"/>
              </w:rPr>
              <w:t>&lt;=100万元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64B6E">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9FAB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389E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3A2C5">
            <w:pPr>
              <w:jc w:val="center"/>
            </w:pPr>
            <w:r>
              <w:rPr>
                <w:rFonts w:ascii="宋体" w:hAnsi="宋体" w:eastAsia="宋体"/>
                <w:sz w:val="16"/>
              </w:rPr>
              <w:t>偏差原因是：该项目推进过程中执行细则遇到适配问题，修改实施方案延误了项目实施；整改措施：成立项目小组，配置专人负责全程督办。</w:t>
            </w:r>
          </w:p>
        </w:tc>
      </w:tr>
      <w:tr w14:paraId="16F25C5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5366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97855D">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070BB">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20C4BB">
            <w:pPr>
              <w:jc w:val="center"/>
            </w:pPr>
            <w:r>
              <w:rPr>
                <w:rFonts w:ascii="宋体" w:hAnsi="宋体" w:eastAsia="宋体"/>
                <w:sz w:val="16"/>
              </w:rPr>
              <w:t>提高应急救援能力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A8FC3">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AE42BC">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012D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CDE7D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625F48">
            <w:pPr>
              <w:jc w:val="center"/>
            </w:pPr>
            <w:r>
              <w:rPr>
                <w:rFonts w:ascii="宋体" w:hAnsi="宋体" w:eastAsia="宋体"/>
                <w:sz w:val="16"/>
              </w:rPr>
              <w:t>偏差原因是：该项目推进过程中执行细则遇到适配问题，修改实施方案延误了项目实施；整改措施：成立项目小组，配置专人负责全程督办。</w:t>
            </w:r>
          </w:p>
        </w:tc>
      </w:tr>
      <w:tr w14:paraId="3D43DA6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DDC3D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8A90D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CD1D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1C57EA">
            <w:pPr>
              <w:jc w:val="center"/>
            </w:pPr>
            <w:r>
              <w:rPr>
                <w:rFonts w:ascii="宋体" w:hAnsi="宋体" w:eastAsia="宋体"/>
                <w:sz w:val="16"/>
              </w:rPr>
              <w:t>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C1A47">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C5751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AF11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BA4B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5C465">
            <w:pPr>
              <w:jc w:val="center"/>
            </w:pPr>
            <w:r>
              <w:rPr>
                <w:rFonts w:ascii="宋体" w:hAnsi="宋体" w:eastAsia="宋体"/>
                <w:sz w:val="16"/>
              </w:rPr>
              <w:t>偏差原因是：该项目推进过程中执行细则遇到适配问题，修改实施方案延误了项目实施；整改措施：成立项目小组，配置专人负责全程督办。</w:t>
            </w:r>
          </w:p>
        </w:tc>
      </w:tr>
      <w:tr w14:paraId="59C5AD3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780D3B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2287C8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E3A98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AA712">
            <w:pPr>
              <w:jc w:val="center"/>
            </w:pPr>
            <w:r>
              <w:rPr>
                <w:rFonts w:ascii="宋体" w:hAnsi="宋体" w:eastAsia="宋体"/>
                <w:sz w:val="16"/>
              </w:rPr>
              <w:t>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F65ECCA"/>
        </w:tc>
      </w:tr>
    </w:tbl>
    <w:p w14:paraId="706CA20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15BB7E5">
        <w:tblPrEx>
          <w:tblCellMar>
            <w:top w:w="0" w:type="dxa"/>
            <w:left w:w="108" w:type="dxa"/>
            <w:bottom w:w="0" w:type="dxa"/>
            <w:right w:w="108" w:type="dxa"/>
          </w:tblCellMar>
        </w:tblPrEx>
        <w:tc>
          <w:tcPr>
            <w:tcW w:w="8847" w:type="dxa"/>
            <w:gridSpan w:val="9"/>
            <w:vAlign w:val="center"/>
          </w:tcPr>
          <w:p w14:paraId="11C1E610">
            <w:pPr>
              <w:jc w:val="center"/>
            </w:pPr>
            <w:r>
              <w:rPr>
                <w:rFonts w:ascii="宋体" w:hAnsi="宋体" w:eastAsia="宋体"/>
                <w:sz w:val="24"/>
              </w:rPr>
              <w:t>项目支出绩效自评表</w:t>
            </w:r>
          </w:p>
        </w:tc>
      </w:tr>
      <w:tr w14:paraId="38439067">
        <w:tblPrEx>
          <w:tblCellMar>
            <w:top w:w="0" w:type="dxa"/>
            <w:left w:w="108" w:type="dxa"/>
            <w:bottom w:w="0" w:type="dxa"/>
            <w:right w:w="108" w:type="dxa"/>
          </w:tblCellMar>
        </w:tblPrEx>
        <w:tc>
          <w:tcPr>
            <w:tcW w:w="8847" w:type="dxa"/>
            <w:gridSpan w:val="9"/>
            <w:vAlign w:val="center"/>
          </w:tcPr>
          <w:p w14:paraId="5EBE0529">
            <w:pPr>
              <w:jc w:val="center"/>
            </w:pPr>
            <w:r>
              <w:rPr>
                <w:rFonts w:ascii="宋体" w:hAnsi="宋体" w:eastAsia="宋体"/>
                <w:sz w:val="24"/>
              </w:rPr>
              <w:t>(2024年度)</w:t>
            </w:r>
          </w:p>
        </w:tc>
      </w:tr>
      <w:tr w14:paraId="5201F65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6B035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52F87B0">
            <w:pPr>
              <w:jc w:val="center"/>
            </w:pPr>
            <w:r>
              <w:rPr>
                <w:rFonts w:ascii="宋体" w:hAnsi="宋体" w:eastAsia="宋体"/>
                <w:sz w:val="16"/>
              </w:rPr>
              <w:t>2024年自治区防震减灾（三网一员）工作经费项目</w:t>
            </w:r>
          </w:p>
        </w:tc>
      </w:tr>
      <w:tr w14:paraId="1B9FD61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7057F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37C0B22">
            <w:pPr>
              <w:jc w:val="center"/>
            </w:pPr>
            <w:r>
              <w:rPr>
                <w:rFonts w:ascii="宋体" w:hAnsi="宋体" w:eastAsia="宋体"/>
                <w:sz w:val="16"/>
              </w:rPr>
              <w:t>和田县应急管理局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CDB83">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3A9DF2C">
            <w:pPr>
              <w:jc w:val="center"/>
            </w:pPr>
            <w:r>
              <w:rPr>
                <w:rFonts w:ascii="宋体" w:hAnsi="宋体" w:eastAsia="宋体"/>
                <w:sz w:val="16"/>
              </w:rPr>
              <w:t>和田县应急管理局</w:t>
            </w:r>
          </w:p>
        </w:tc>
      </w:tr>
      <w:tr w14:paraId="49D9FBA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9F177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ACDF37">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C97E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A3F98">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F17F7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B671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79AC4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787AC3">
            <w:pPr>
              <w:jc w:val="center"/>
            </w:pPr>
            <w:r>
              <w:rPr>
                <w:rFonts w:ascii="宋体" w:hAnsi="宋体" w:eastAsia="宋体"/>
                <w:sz w:val="16"/>
              </w:rPr>
              <w:t>得分</w:t>
            </w:r>
          </w:p>
        </w:tc>
      </w:tr>
      <w:tr w14:paraId="387FAF9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FD74E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622115">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337BDF">
            <w:pPr>
              <w:jc w:val="center"/>
            </w:pPr>
            <w:r>
              <w:rPr>
                <w:rFonts w:ascii="宋体" w:hAnsi="宋体" w:eastAsia="宋体"/>
                <w:sz w:val="16"/>
              </w:rPr>
              <w:t>0.48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7C4566">
            <w:pPr>
              <w:jc w:val="center"/>
            </w:pPr>
            <w:r>
              <w:rPr>
                <w:rFonts w:ascii="宋体" w:hAnsi="宋体" w:eastAsia="宋体"/>
                <w:sz w:val="16"/>
              </w:rPr>
              <w:t>0.48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86CD5">
            <w:pPr>
              <w:jc w:val="center"/>
            </w:pPr>
            <w:r>
              <w:rPr>
                <w:rFonts w:ascii="宋体" w:hAnsi="宋体" w:eastAsia="宋体"/>
                <w:sz w:val="16"/>
              </w:rPr>
              <w:t>0.48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6A82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6F1D85">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DB312">
            <w:pPr>
              <w:jc w:val="center"/>
            </w:pPr>
            <w:r>
              <w:rPr>
                <w:rFonts w:ascii="宋体" w:hAnsi="宋体" w:eastAsia="宋体"/>
                <w:sz w:val="16"/>
              </w:rPr>
              <w:t>10.00分</w:t>
            </w:r>
          </w:p>
        </w:tc>
      </w:tr>
      <w:tr w14:paraId="6962D2A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CF758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44423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29EF00">
            <w:pPr>
              <w:jc w:val="center"/>
            </w:pPr>
            <w:r>
              <w:rPr>
                <w:rFonts w:ascii="宋体" w:hAnsi="宋体" w:eastAsia="宋体"/>
                <w:sz w:val="16"/>
              </w:rPr>
              <w:t>0.48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63E9A">
            <w:pPr>
              <w:jc w:val="center"/>
            </w:pPr>
            <w:r>
              <w:rPr>
                <w:rFonts w:ascii="宋体" w:hAnsi="宋体" w:eastAsia="宋体"/>
                <w:sz w:val="16"/>
              </w:rPr>
              <w:t>0.48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60C74F">
            <w:pPr>
              <w:jc w:val="center"/>
            </w:pPr>
            <w:r>
              <w:rPr>
                <w:rFonts w:ascii="宋体" w:hAnsi="宋体" w:eastAsia="宋体"/>
                <w:sz w:val="16"/>
              </w:rPr>
              <w:t>0.48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74F01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A400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C4D82A">
            <w:pPr>
              <w:jc w:val="center"/>
            </w:pPr>
            <w:r>
              <w:rPr>
                <w:rFonts w:ascii="宋体" w:hAnsi="宋体" w:eastAsia="宋体"/>
                <w:sz w:val="16"/>
              </w:rPr>
              <w:t>—</w:t>
            </w:r>
          </w:p>
        </w:tc>
      </w:tr>
      <w:tr w14:paraId="5A3B2A2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B26D2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EF25A2">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97B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9EB0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4F178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2E4B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1F4E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7E5D6">
            <w:pPr>
              <w:jc w:val="center"/>
            </w:pPr>
            <w:r>
              <w:rPr>
                <w:rFonts w:ascii="宋体" w:hAnsi="宋体" w:eastAsia="宋体"/>
                <w:sz w:val="16"/>
              </w:rPr>
              <w:t>—</w:t>
            </w:r>
          </w:p>
        </w:tc>
      </w:tr>
      <w:tr w14:paraId="56E940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815CE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2CF83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6958B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23007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5DF90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DE127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07BE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7DFE8">
            <w:pPr>
              <w:jc w:val="center"/>
            </w:pPr>
            <w:r>
              <w:rPr>
                <w:rFonts w:ascii="宋体" w:hAnsi="宋体" w:eastAsia="宋体"/>
                <w:sz w:val="16"/>
              </w:rPr>
              <w:t>—</w:t>
            </w:r>
          </w:p>
        </w:tc>
      </w:tr>
      <w:tr w14:paraId="553EBCD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EFCCB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DB4298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0500E27">
            <w:pPr>
              <w:jc w:val="center"/>
            </w:pPr>
            <w:r>
              <w:rPr>
                <w:rFonts w:ascii="宋体" w:hAnsi="宋体" w:eastAsia="宋体"/>
                <w:sz w:val="16"/>
              </w:rPr>
              <w:t>实际完成情况</w:t>
            </w:r>
          </w:p>
        </w:tc>
      </w:tr>
      <w:tr w14:paraId="7C5D04D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F99E9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571B3BA">
            <w:pPr>
              <w:jc w:val="both"/>
            </w:pPr>
            <w:r>
              <w:rPr>
                <w:rFonts w:ascii="宋体" w:hAnsi="宋体" w:eastAsia="宋体"/>
                <w:sz w:val="16"/>
              </w:rPr>
              <w:t>聚焦大震灾害风险防范，着力补短板、强弱项，加强抗震设防管理、积极开展防震减灾宣传，推进地震宏观测报网、灾情速报网、防震减灾宣传网和防震减灾助理员等“三网一员”队伍建设，以时不</w:t>
            </w:r>
            <w:r>
              <w:rPr>
                <w:rFonts w:hint="eastAsia" w:ascii="宋体" w:hAnsi="宋体"/>
                <w:sz w:val="16"/>
                <w:lang w:eastAsia="zh-CN"/>
              </w:rPr>
              <w:t>我待</w:t>
            </w:r>
            <w:r>
              <w:rPr>
                <w:rFonts w:ascii="宋体" w:hAnsi="宋体" w:eastAsia="宋体"/>
                <w:sz w:val="16"/>
              </w:rPr>
              <w:t>的紧迫感抓好“三网一员”网络体系建设的落实工作，筑牢群测群防安全防线。</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8616A46">
            <w:pPr>
              <w:jc w:val="both"/>
            </w:pPr>
            <w:r>
              <w:rPr>
                <w:rFonts w:ascii="宋体" w:hAnsi="宋体" w:eastAsia="宋体"/>
                <w:sz w:val="16"/>
              </w:rPr>
              <w:t>本项目截止至2024年12月31日，已将4800元资金全额发放至2个乡镇的2名宏观观测员手中，每人2400元，资金发放准确率和及时率均达到100%。2名宏观观测员已按照要求，持续对家中家畜的异常动作进行日常观测记录，为可能发生的地震等灾害提供了基础数据支持，初步构建起有效的基层灾害预警网络。</w:t>
            </w:r>
          </w:p>
        </w:tc>
      </w:tr>
      <w:tr w14:paraId="1FBBBE0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485287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7CFCE">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FF177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ACA89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98994">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769F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1933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F4BBD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9EFB4E">
            <w:pPr>
              <w:jc w:val="center"/>
            </w:pPr>
            <w:r>
              <w:rPr>
                <w:rFonts w:ascii="宋体" w:hAnsi="宋体" w:eastAsia="宋体"/>
                <w:sz w:val="16"/>
              </w:rPr>
              <w:t>偏差原因分析及改进措施</w:t>
            </w:r>
          </w:p>
        </w:tc>
      </w:tr>
      <w:tr w14:paraId="13E6890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A01A8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C503CE">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CFC94C">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DC251">
            <w:pPr>
              <w:jc w:val="center"/>
            </w:pPr>
            <w:r>
              <w:rPr>
                <w:rFonts w:ascii="宋体" w:hAnsi="宋体" w:eastAsia="宋体"/>
                <w:sz w:val="16"/>
              </w:rPr>
              <w:t>地震灾情速报人员数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23F4DE">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764BFF">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E527F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A094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7DD42">
            <w:pPr>
              <w:jc w:val="center"/>
            </w:pPr>
          </w:p>
        </w:tc>
      </w:tr>
      <w:tr w14:paraId="6519AD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0BB33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931BE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4B885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369AB2">
            <w:pPr>
              <w:jc w:val="center"/>
            </w:pPr>
            <w:r>
              <w:rPr>
                <w:rFonts w:ascii="宋体" w:hAnsi="宋体" w:eastAsia="宋体"/>
                <w:sz w:val="16"/>
              </w:rPr>
              <w:t>宏观观测哨（点）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8E272F">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71D090">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8A6CF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F05F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5157EC">
            <w:pPr>
              <w:jc w:val="center"/>
            </w:pPr>
          </w:p>
        </w:tc>
      </w:tr>
      <w:tr w14:paraId="7BCC6C4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759C3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0AB53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F6669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70286">
            <w:pPr>
              <w:jc w:val="center"/>
            </w:pPr>
            <w:r>
              <w:rPr>
                <w:rFonts w:ascii="宋体" w:hAnsi="宋体" w:eastAsia="宋体"/>
                <w:sz w:val="16"/>
              </w:rPr>
              <w:t>发放“三网一员”人员补助次数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5413EF">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60872">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8FA0B">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86E7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6B5301">
            <w:pPr>
              <w:jc w:val="center"/>
            </w:pPr>
          </w:p>
        </w:tc>
      </w:tr>
      <w:tr w14:paraId="582F96F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D5A89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B1467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BB13D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18701">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6C8A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BC0D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03481">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48AE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722BFB">
            <w:pPr>
              <w:jc w:val="center"/>
            </w:pPr>
          </w:p>
        </w:tc>
      </w:tr>
      <w:tr w14:paraId="4BE98E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885A8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B6E43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7638E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AB663">
            <w:pPr>
              <w:jc w:val="center"/>
            </w:pPr>
            <w:r>
              <w:rPr>
                <w:rFonts w:ascii="宋体" w:hAnsi="宋体" w:eastAsia="宋体"/>
                <w:sz w:val="16"/>
              </w:rPr>
              <w:t>补助覆盖率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F31D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D1CD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83086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02BA2">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8E8E2E">
            <w:pPr>
              <w:jc w:val="center"/>
            </w:pPr>
          </w:p>
        </w:tc>
      </w:tr>
      <w:tr w14:paraId="11877B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3A853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4AC21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85F65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6396C">
            <w:pPr>
              <w:jc w:val="center"/>
            </w:pPr>
            <w:r>
              <w:rPr>
                <w:rFonts w:ascii="宋体" w:hAnsi="宋体" w:eastAsia="宋体"/>
                <w:sz w:val="16"/>
              </w:rPr>
              <w:t>地震应急指挥决策参考响应时间（分钟）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2710AA">
            <w:pPr>
              <w:jc w:val="center"/>
            </w:pPr>
            <w:r>
              <w:rPr>
                <w:rFonts w:ascii="宋体" w:hAnsi="宋体" w:eastAsia="宋体"/>
                <w:sz w:val="16"/>
              </w:rPr>
              <w:t>&gt;=10分钟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3F43F5">
            <w:pPr>
              <w:jc w:val="center"/>
            </w:pPr>
            <w:r>
              <w:rPr>
                <w:rFonts w:ascii="宋体" w:hAnsi="宋体" w:eastAsia="宋体"/>
                <w:sz w:val="16"/>
              </w:rPr>
              <w:t>=10分钟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3E49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6818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0D2EF6">
            <w:pPr>
              <w:jc w:val="center"/>
            </w:pPr>
          </w:p>
        </w:tc>
      </w:tr>
      <w:tr w14:paraId="63FC12C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AF1FF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BB6CB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5E2AC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5557B6">
            <w:pPr>
              <w:jc w:val="center"/>
            </w:pPr>
            <w:r>
              <w:rPr>
                <w:rFonts w:ascii="宋体" w:hAnsi="宋体" w:eastAsia="宋体"/>
                <w:sz w:val="16"/>
              </w:rPr>
              <w:t>资金发放及时率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9AA4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1DC9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C84BD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EFBD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8C395">
            <w:pPr>
              <w:jc w:val="center"/>
            </w:pPr>
          </w:p>
        </w:tc>
      </w:tr>
      <w:tr w14:paraId="14D810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BB15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AB2C49">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05F1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4594B">
            <w:pPr>
              <w:jc w:val="center"/>
            </w:pPr>
            <w:r>
              <w:rPr>
                <w:rFonts w:ascii="宋体" w:hAnsi="宋体" w:eastAsia="宋体"/>
                <w:sz w:val="16"/>
              </w:rPr>
              <w:t>“三网一员”补贴标准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263DE">
            <w:pPr>
              <w:jc w:val="center"/>
            </w:pPr>
            <w:r>
              <w:rPr>
                <w:rFonts w:ascii="宋体" w:hAnsi="宋体" w:eastAsia="宋体"/>
                <w:sz w:val="16"/>
              </w:rPr>
              <w:t>&lt;=200元/点/月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F70AA">
            <w:pPr>
              <w:jc w:val="center"/>
            </w:pPr>
            <w:r>
              <w:rPr>
                <w:rFonts w:ascii="宋体" w:hAnsi="宋体" w:eastAsia="宋体"/>
                <w:sz w:val="16"/>
              </w:rPr>
              <w:t>=200元/点/月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65ED4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502E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3C167E">
            <w:pPr>
              <w:jc w:val="center"/>
            </w:pPr>
          </w:p>
        </w:tc>
      </w:tr>
      <w:tr w14:paraId="758EC2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DB7BE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AFE1B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044C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A5234">
            <w:pPr>
              <w:jc w:val="center"/>
            </w:pPr>
            <w:r>
              <w:rPr>
                <w:rFonts w:ascii="宋体" w:hAnsi="宋体" w:eastAsia="宋体"/>
                <w:sz w:val="16"/>
              </w:rPr>
              <w:t>保障和田县建立“三网一员”宏观监测哨日常观测运行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E2C82B">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1FB587">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3CF9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0836C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0B158">
            <w:pPr>
              <w:jc w:val="center"/>
            </w:pPr>
          </w:p>
        </w:tc>
      </w:tr>
      <w:tr w14:paraId="0FFAD7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007A2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195AC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08813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7155D">
            <w:pPr>
              <w:jc w:val="center"/>
            </w:pPr>
            <w:r>
              <w:rPr>
                <w:rFonts w:ascii="宋体" w:hAnsi="宋体" w:eastAsia="宋体"/>
                <w:sz w:val="16"/>
              </w:rPr>
              <w:t>“三网一员”人员满意度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0945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AA23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78F61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DC8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70F83">
            <w:pPr>
              <w:jc w:val="center"/>
            </w:pPr>
            <w:r>
              <w:rPr>
                <w:rFonts w:ascii="宋体" w:hAnsi="宋体" w:eastAsia="宋体"/>
                <w:sz w:val="16"/>
              </w:rPr>
              <w:t>偏差原因：项目实施效果较好，满意度实际值超过预期导致出现正偏差</w:t>
            </w:r>
          </w:p>
        </w:tc>
      </w:tr>
      <w:tr w14:paraId="727D373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914AF2">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29CBF4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F1B3A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6B6159">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24E34D3"/>
        </w:tc>
      </w:tr>
    </w:tbl>
    <w:p w14:paraId="62C8ACB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6D4AC00">
        <w:tblPrEx>
          <w:tblCellMar>
            <w:top w:w="0" w:type="dxa"/>
            <w:left w:w="108" w:type="dxa"/>
            <w:bottom w:w="0" w:type="dxa"/>
            <w:right w:w="108" w:type="dxa"/>
          </w:tblCellMar>
        </w:tblPrEx>
        <w:tc>
          <w:tcPr>
            <w:tcW w:w="8847" w:type="dxa"/>
            <w:gridSpan w:val="9"/>
            <w:vAlign w:val="center"/>
          </w:tcPr>
          <w:p w14:paraId="02D21CD5">
            <w:pPr>
              <w:jc w:val="center"/>
            </w:pPr>
            <w:r>
              <w:rPr>
                <w:rFonts w:ascii="宋体" w:hAnsi="宋体" w:eastAsia="宋体"/>
                <w:sz w:val="24"/>
              </w:rPr>
              <w:t>项目支出绩效自评表</w:t>
            </w:r>
          </w:p>
        </w:tc>
      </w:tr>
      <w:tr w14:paraId="638D093A">
        <w:tblPrEx>
          <w:tblCellMar>
            <w:top w:w="0" w:type="dxa"/>
            <w:left w:w="108" w:type="dxa"/>
            <w:bottom w:w="0" w:type="dxa"/>
            <w:right w:w="108" w:type="dxa"/>
          </w:tblCellMar>
        </w:tblPrEx>
        <w:tc>
          <w:tcPr>
            <w:tcW w:w="8847" w:type="dxa"/>
            <w:gridSpan w:val="9"/>
            <w:vAlign w:val="center"/>
          </w:tcPr>
          <w:p w14:paraId="67DC37C2">
            <w:pPr>
              <w:jc w:val="center"/>
            </w:pPr>
            <w:r>
              <w:rPr>
                <w:rFonts w:ascii="宋体" w:hAnsi="宋体" w:eastAsia="宋体"/>
                <w:sz w:val="24"/>
              </w:rPr>
              <w:t>(2024年度)</w:t>
            </w:r>
          </w:p>
        </w:tc>
      </w:tr>
      <w:tr w14:paraId="031341F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15C8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17BB649">
            <w:pPr>
              <w:jc w:val="center"/>
            </w:pPr>
            <w:r>
              <w:rPr>
                <w:rFonts w:ascii="宋体" w:hAnsi="宋体" w:eastAsia="宋体"/>
                <w:sz w:val="16"/>
              </w:rPr>
              <w:t>2024年驻村工作专项经费</w:t>
            </w:r>
          </w:p>
        </w:tc>
      </w:tr>
      <w:tr w14:paraId="368DC26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AE9C8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BCAAB3A">
            <w:pPr>
              <w:jc w:val="center"/>
            </w:pPr>
            <w:r>
              <w:rPr>
                <w:rFonts w:ascii="宋体" w:hAnsi="宋体" w:eastAsia="宋体"/>
                <w:sz w:val="16"/>
              </w:rPr>
              <w:t>和田县应急管理局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3A8B1">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8C44B83">
            <w:pPr>
              <w:jc w:val="center"/>
            </w:pPr>
            <w:r>
              <w:rPr>
                <w:rFonts w:ascii="宋体" w:hAnsi="宋体" w:eastAsia="宋体"/>
                <w:sz w:val="16"/>
              </w:rPr>
              <w:t>和田县应急管理局</w:t>
            </w:r>
          </w:p>
        </w:tc>
      </w:tr>
      <w:tr w14:paraId="327C8D5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C2781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1563A0">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51A1D5">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B0757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C41D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184A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7C2A4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256F79">
            <w:pPr>
              <w:jc w:val="center"/>
            </w:pPr>
            <w:r>
              <w:rPr>
                <w:rFonts w:ascii="宋体" w:hAnsi="宋体" w:eastAsia="宋体"/>
                <w:sz w:val="16"/>
              </w:rPr>
              <w:t>得分</w:t>
            </w:r>
          </w:p>
        </w:tc>
      </w:tr>
      <w:tr w14:paraId="3C011AF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06065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1673C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11493E">
            <w:pPr>
              <w:jc w:val="center"/>
            </w:pPr>
            <w:r>
              <w:rPr>
                <w:rFonts w:ascii="宋体" w:hAnsi="宋体" w:eastAsia="宋体"/>
                <w:sz w:val="16"/>
              </w:rPr>
              <w:t>29.00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ADC533">
            <w:pPr>
              <w:jc w:val="center"/>
            </w:pPr>
            <w:r>
              <w:rPr>
                <w:rFonts w:ascii="宋体" w:hAnsi="宋体" w:eastAsia="宋体"/>
                <w:sz w:val="16"/>
              </w:rPr>
              <w:t>29.00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5147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271A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82756">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C3C1DC">
            <w:pPr>
              <w:jc w:val="center"/>
            </w:pPr>
            <w:r>
              <w:rPr>
                <w:rFonts w:ascii="宋体" w:hAnsi="宋体" w:eastAsia="宋体"/>
                <w:sz w:val="16"/>
              </w:rPr>
              <w:t>0.00分</w:t>
            </w:r>
          </w:p>
        </w:tc>
      </w:tr>
      <w:tr w14:paraId="4D5B0C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CE3CB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6532B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83EE20">
            <w:pPr>
              <w:jc w:val="center"/>
            </w:pPr>
            <w:r>
              <w:rPr>
                <w:rFonts w:ascii="宋体" w:hAnsi="宋体" w:eastAsia="宋体"/>
                <w:sz w:val="16"/>
              </w:rPr>
              <w:t>29.00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2F5435">
            <w:pPr>
              <w:jc w:val="center"/>
            </w:pPr>
            <w:r>
              <w:rPr>
                <w:rFonts w:ascii="宋体" w:hAnsi="宋体" w:eastAsia="宋体"/>
                <w:sz w:val="16"/>
              </w:rPr>
              <w:t>29.00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4F8D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305A4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3660D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4B4293">
            <w:pPr>
              <w:jc w:val="center"/>
            </w:pPr>
            <w:r>
              <w:rPr>
                <w:rFonts w:ascii="宋体" w:hAnsi="宋体" w:eastAsia="宋体"/>
                <w:sz w:val="16"/>
              </w:rPr>
              <w:t>—</w:t>
            </w:r>
          </w:p>
        </w:tc>
      </w:tr>
      <w:tr w14:paraId="50DF27C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1E210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BE5B3E">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0778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BBAF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7A608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06F32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6509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28A57B">
            <w:pPr>
              <w:jc w:val="center"/>
            </w:pPr>
            <w:r>
              <w:rPr>
                <w:rFonts w:ascii="宋体" w:hAnsi="宋体" w:eastAsia="宋体"/>
                <w:sz w:val="16"/>
              </w:rPr>
              <w:t>—</w:t>
            </w:r>
          </w:p>
        </w:tc>
      </w:tr>
      <w:tr w14:paraId="0175613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0477D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2A99E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A18D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ECA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3795E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A1EC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B4345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E382B">
            <w:pPr>
              <w:jc w:val="center"/>
            </w:pPr>
            <w:r>
              <w:rPr>
                <w:rFonts w:ascii="宋体" w:hAnsi="宋体" w:eastAsia="宋体"/>
                <w:sz w:val="16"/>
              </w:rPr>
              <w:t>—</w:t>
            </w:r>
          </w:p>
        </w:tc>
      </w:tr>
      <w:tr w14:paraId="5035EA3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21173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9E0D7B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545B58">
            <w:pPr>
              <w:jc w:val="center"/>
            </w:pPr>
            <w:r>
              <w:rPr>
                <w:rFonts w:ascii="宋体" w:hAnsi="宋体" w:eastAsia="宋体"/>
                <w:sz w:val="16"/>
              </w:rPr>
              <w:t>实际完成情况</w:t>
            </w:r>
          </w:p>
        </w:tc>
      </w:tr>
      <w:tr w14:paraId="4BE5F0E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6F6B6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27AC79B">
            <w:pPr>
              <w:jc w:val="both"/>
            </w:pPr>
            <w:r>
              <w:rPr>
                <w:rFonts w:ascii="宋体" w:hAnsi="宋体" w:eastAsia="宋体"/>
                <w:sz w:val="16"/>
              </w:rPr>
              <w:t>目标1：该项目用于保障驻村工作队2队，驻村工作队服务村数量2个。</w:t>
            </w:r>
            <w:r>
              <w:rPr>
                <w:rFonts w:ascii="宋体" w:hAnsi="宋体" w:eastAsia="宋体"/>
                <w:sz w:val="16"/>
              </w:rPr>
              <w:br w:type="textWrapping"/>
            </w:r>
            <w:r>
              <w:rPr>
                <w:rFonts w:ascii="宋体" w:hAnsi="宋体" w:eastAsia="宋体"/>
                <w:sz w:val="16"/>
              </w:rPr>
              <w:t>目标2：该项目的实施解决群众最关心、最直接、最现实的利益问题为导向，以千方百计解决驻村点群众生产生活中的实际困难为目的，及时将党和政府的温暖送到各族群众的心坎上。</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8CB158">
            <w:pPr>
              <w:jc w:val="both"/>
            </w:pPr>
            <w:r>
              <w:rPr>
                <w:rFonts w:ascii="宋体" w:hAnsi="宋体" w:eastAsia="宋体"/>
                <w:sz w:val="16"/>
              </w:rPr>
              <w:t>本项目截止至2024年12月31日，已完成保障驻村工作队2队，驻村工作队服务村数量2个，已解决群众最关心、最直接、最现实的利益问题，及时将党和政府的温暖送到各族群众的心坎上。</w:t>
            </w:r>
          </w:p>
        </w:tc>
      </w:tr>
      <w:tr w14:paraId="313E30A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49B11C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BBD63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C222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2A370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34F1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D917A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C498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089A5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05EE3">
            <w:pPr>
              <w:jc w:val="center"/>
            </w:pPr>
            <w:r>
              <w:rPr>
                <w:rFonts w:ascii="宋体" w:hAnsi="宋体" w:eastAsia="宋体"/>
                <w:sz w:val="16"/>
              </w:rPr>
              <w:t>偏差原因分析及改进措施</w:t>
            </w:r>
          </w:p>
        </w:tc>
      </w:tr>
      <w:tr w14:paraId="5896523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D90E50">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FE556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26D345">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EB2F1C">
            <w:pPr>
              <w:jc w:val="center"/>
            </w:pPr>
            <w:r>
              <w:rPr>
                <w:rFonts w:ascii="宋体" w:hAnsi="宋体" w:eastAsia="宋体"/>
                <w:sz w:val="16"/>
              </w:rPr>
              <w:t>驻村工作队服务村数量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50995">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BFC31">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B86F7">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905F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0C1A9">
            <w:pPr>
              <w:jc w:val="center"/>
            </w:pPr>
          </w:p>
        </w:tc>
      </w:tr>
      <w:tr w14:paraId="23ED97B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7D64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E59BC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FD1B5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63D53">
            <w:pPr>
              <w:jc w:val="center"/>
            </w:pPr>
            <w:r>
              <w:rPr>
                <w:rFonts w:ascii="宋体" w:hAnsi="宋体" w:eastAsia="宋体"/>
                <w:sz w:val="16"/>
              </w:rPr>
              <w:t>保障驻村工作队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5A9A4">
            <w:pPr>
              <w:jc w:val="center"/>
            </w:pPr>
            <w:r>
              <w:rPr>
                <w:rFonts w:ascii="宋体" w:hAnsi="宋体" w:eastAsia="宋体"/>
                <w:sz w:val="16"/>
              </w:rPr>
              <w:t>=2队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75658">
            <w:pPr>
              <w:jc w:val="center"/>
            </w:pPr>
            <w:r>
              <w:rPr>
                <w:rFonts w:ascii="宋体" w:hAnsi="宋体" w:eastAsia="宋体"/>
                <w:sz w:val="16"/>
              </w:rPr>
              <w:t>=2队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DCCE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D140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EFF220">
            <w:pPr>
              <w:jc w:val="center"/>
            </w:pPr>
          </w:p>
        </w:tc>
      </w:tr>
      <w:tr w14:paraId="1F756C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C2CE7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CCC9E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DE10F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69C06">
            <w:pPr>
              <w:jc w:val="center"/>
            </w:pPr>
            <w:r>
              <w:rPr>
                <w:rFonts w:ascii="宋体" w:hAnsi="宋体" w:eastAsia="宋体"/>
                <w:sz w:val="16"/>
              </w:rPr>
              <w:t>经费保障覆盖率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1174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7477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4CB86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03ECB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E3069">
            <w:pPr>
              <w:jc w:val="center"/>
            </w:pPr>
            <w:r>
              <w:rPr>
                <w:rFonts w:ascii="宋体" w:hAnsi="宋体" w:eastAsia="宋体"/>
                <w:sz w:val="16"/>
              </w:rPr>
              <w:t>偏差原因：村级报账不及时，资料不完整；整改措施：加强对村级财务报账的监督提醒，确保日后按时支付。</w:t>
            </w:r>
          </w:p>
        </w:tc>
      </w:tr>
      <w:tr w14:paraId="1E7C4D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7C08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7997A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3EAF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48A0F">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E4B5B">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567A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16517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70DB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1DDD71">
            <w:pPr>
              <w:jc w:val="center"/>
            </w:pPr>
          </w:p>
        </w:tc>
      </w:tr>
      <w:tr w14:paraId="7646AF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8BC16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1B2C17">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DD0BD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CD55D">
            <w:pPr>
              <w:jc w:val="center"/>
            </w:pPr>
            <w:r>
              <w:rPr>
                <w:rFonts w:ascii="宋体" w:hAnsi="宋体" w:eastAsia="宋体"/>
                <w:sz w:val="16"/>
              </w:rPr>
              <w:t>访贫问苦成本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927681">
            <w:pPr>
              <w:jc w:val="center"/>
            </w:pPr>
            <w:r>
              <w:rPr>
                <w:rFonts w:ascii="宋体" w:hAnsi="宋体" w:eastAsia="宋体"/>
                <w:sz w:val="16"/>
              </w:rPr>
              <w:t>&lt;=7.25万元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4B10C">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E5D88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6AEA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77994">
            <w:pPr>
              <w:jc w:val="center"/>
            </w:pPr>
            <w:r>
              <w:rPr>
                <w:rFonts w:ascii="宋体" w:hAnsi="宋体" w:eastAsia="宋体"/>
                <w:sz w:val="16"/>
              </w:rPr>
              <w:t>偏差原因：村级报账不及时，资料不完整；整改措施：加强对村级财务报账的监督提醒，确保日后按时支付。</w:t>
            </w:r>
          </w:p>
        </w:tc>
      </w:tr>
      <w:tr w14:paraId="105717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27276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2F60A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DC564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36E2E">
            <w:pPr>
              <w:jc w:val="center"/>
            </w:pPr>
            <w:r>
              <w:rPr>
                <w:rFonts w:ascii="宋体" w:hAnsi="宋体" w:eastAsia="宋体"/>
                <w:sz w:val="16"/>
              </w:rPr>
              <w:t>村级组织工作经费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40F44">
            <w:pPr>
              <w:jc w:val="center"/>
            </w:pPr>
            <w:r>
              <w:rPr>
                <w:rFonts w:ascii="宋体" w:hAnsi="宋体" w:eastAsia="宋体"/>
                <w:sz w:val="16"/>
              </w:rPr>
              <w:t>&lt;=14.50万元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CA54BB">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743C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AB103">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D1DA7">
            <w:pPr>
              <w:jc w:val="center"/>
            </w:pPr>
            <w:r>
              <w:rPr>
                <w:rFonts w:ascii="宋体" w:hAnsi="宋体" w:eastAsia="宋体"/>
                <w:sz w:val="16"/>
              </w:rPr>
              <w:t>偏差原因：村级报账不及时，资料不完整；整改措施：加强对村级财务报账的监督提醒，确保日后按时支付。</w:t>
            </w:r>
          </w:p>
        </w:tc>
      </w:tr>
      <w:tr w14:paraId="7FDE4B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2654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48C9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8E836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896122">
            <w:pPr>
              <w:jc w:val="center"/>
            </w:pPr>
            <w:r>
              <w:rPr>
                <w:rFonts w:ascii="宋体" w:hAnsi="宋体" w:eastAsia="宋体"/>
                <w:sz w:val="16"/>
              </w:rPr>
              <w:t>困难群众房屋修缮成本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A8797B">
            <w:pPr>
              <w:jc w:val="center"/>
            </w:pPr>
            <w:r>
              <w:rPr>
                <w:rFonts w:ascii="宋体" w:hAnsi="宋体" w:eastAsia="宋体"/>
                <w:sz w:val="16"/>
              </w:rPr>
              <w:t>&lt;=7.25万元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5069C">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234E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63B348">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C1127">
            <w:pPr>
              <w:jc w:val="center"/>
            </w:pPr>
            <w:r>
              <w:rPr>
                <w:rFonts w:ascii="宋体" w:hAnsi="宋体" w:eastAsia="宋体"/>
                <w:sz w:val="16"/>
              </w:rPr>
              <w:t>偏差原因：村级报账不及时，资料不完整；整改措施：加强对村级财务报账的监督提醒，确保日后按时支付。</w:t>
            </w:r>
          </w:p>
        </w:tc>
      </w:tr>
      <w:tr w14:paraId="1F4638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48EA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AB614">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C7987">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A01460">
            <w:pPr>
              <w:jc w:val="center"/>
            </w:pPr>
            <w:r>
              <w:rPr>
                <w:rFonts w:ascii="宋体" w:hAnsi="宋体" w:eastAsia="宋体"/>
                <w:sz w:val="16"/>
              </w:rPr>
              <w:t>提高驻村工作队职能发挥的</w:t>
            </w:r>
            <w:r>
              <w:rPr>
                <w:rFonts w:hint="eastAsia" w:ascii="宋体" w:hAnsi="宋体"/>
                <w:sz w:val="16"/>
                <w:lang w:eastAsia="zh-CN"/>
              </w:rPr>
              <w:t>可持续性</w:t>
            </w:r>
            <w:r>
              <w:rPr>
                <w:rFonts w:ascii="宋体" w:hAnsi="宋体" w:eastAsia="宋体"/>
                <w:sz w:val="16"/>
              </w:rPr>
              <w:t>情况</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516FF">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2940D">
            <w:pPr>
              <w:jc w:val="center"/>
            </w:pPr>
            <w:r>
              <w:rPr>
                <w:rFonts w:ascii="宋体" w:hAnsi="宋体" w:eastAsia="宋体"/>
                <w:sz w:val="16"/>
              </w:rPr>
              <w:t>有效提高</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8C67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46A3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D2350">
            <w:pPr>
              <w:jc w:val="center"/>
            </w:pPr>
          </w:p>
        </w:tc>
      </w:tr>
      <w:tr w14:paraId="65FC87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0ACC5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3E5E7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47C62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797B7">
            <w:pPr>
              <w:jc w:val="center"/>
            </w:pPr>
            <w:r>
              <w:rPr>
                <w:rFonts w:ascii="宋体" w:hAnsi="宋体" w:eastAsia="宋体"/>
                <w:sz w:val="16"/>
              </w:rPr>
              <w:t>受益村民满意度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6A478">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8AA7F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9A405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B1C2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AF135">
            <w:pPr>
              <w:jc w:val="center"/>
            </w:pPr>
            <w:r>
              <w:rPr>
                <w:rFonts w:ascii="宋体" w:hAnsi="宋体" w:eastAsia="宋体"/>
                <w:sz w:val="16"/>
              </w:rPr>
              <w:t>偏差原因：项目实施效果较好，满意度实际值超过预期导致出现正偏差</w:t>
            </w:r>
          </w:p>
        </w:tc>
      </w:tr>
      <w:tr w14:paraId="2513568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8CEC9FC">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26A331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2BE9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22163">
            <w:pPr>
              <w:jc w:val="center"/>
            </w:pPr>
            <w:r>
              <w:rPr>
                <w:rFonts w:ascii="宋体" w:hAnsi="宋体" w:eastAsia="宋体"/>
                <w:sz w:val="16"/>
              </w:rPr>
              <w:t>60分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EBEAE18"/>
        </w:tc>
      </w:tr>
    </w:tbl>
    <w:p w14:paraId="1A580A38">
      <w:r>
        <w:br w:type="page"/>
      </w:r>
    </w:p>
    <w:tbl>
      <w:tblPr>
        <w:tblStyle w:val="9"/>
        <w:tblW w:w="5000" w:type="pct"/>
        <w:jc w:val="center"/>
        <w:tblLayout w:type="autofit"/>
        <w:tblCellMar>
          <w:top w:w="32" w:type="dxa"/>
          <w:left w:w="64" w:type="dxa"/>
          <w:bottom w:w="32" w:type="dxa"/>
          <w:right w:w="64" w:type="dxa"/>
        </w:tblCellMar>
      </w:tblPr>
      <w:tblGrid>
        <w:gridCol w:w="640"/>
        <w:gridCol w:w="874"/>
        <w:gridCol w:w="982"/>
        <w:gridCol w:w="1837"/>
        <w:gridCol w:w="1037"/>
        <w:gridCol w:w="964"/>
        <w:gridCol w:w="501"/>
        <w:gridCol w:w="876"/>
        <w:gridCol w:w="1261"/>
      </w:tblGrid>
      <w:tr w14:paraId="32BE3CD5">
        <w:tblPrEx>
          <w:tblCellMar>
            <w:top w:w="32" w:type="dxa"/>
            <w:left w:w="64" w:type="dxa"/>
            <w:bottom w:w="32" w:type="dxa"/>
            <w:right w:w="64" w:type="dxa"/>
          </w:tblCellMar>
        </w:tblPrEx>
        <w:trPr>
          <w:trHeight w:val="0" w:hRule="atLeast"/>
          <w:jc w:val="center"/>
        </w:trPr>
        <w:tc>
          <w:tcPr>
            <w:tcW w:w="5000" w:type="pct"/>
            <w:gridSpan w:val="9"/>
            <w:vAlign w:val="center"/>
          </w:tcPr>
          <w:p w14:paraId="58724C57">
            <w:pPr>
              <w:snapToGrid w:val="0"/>
              <w:jc w:val="center"/>
            </w:pPr>
            <w:r>
              <w:rPr>
                <w:rFonts w:ascii="宋体" w:hAnsi="宋体" w:eastAsia="宋体"/>
                <w:sz w:val="24"/>
              </w:rPr>
              <w:t>项目支出绩效自评表</w:t>
            </w:r>
          </w:p>
        </w:tc>
      </w:tr>
      <w:tr w14:paraId="736F1658">
        <w:tblPrEx>
          <w:tblCellMar>
            <w:top w:w="32" w:type="dxa"/>
            <w:left w:w="64" w:type="dxa"/>
            <w:bottom w:w="32" w:type="dxa"/>
            <w:right w:w="64" w:type="dxa"/>
          </w:tblCellMar>
        </w:tblPrEx>
        <w:trPr>
          <w:trHeight w:val="0" w:hRule="atLeast"/>
          <w:jc w:val="center"/>
        </w:trPr>
        <w:tc>
          <w:tcPr>
            <w:tcW w:w="5000" w:type="pct"/>
            <w:gridSpan w:val="9"/>
            <w:vAlign w:val="center"/>
          </w:tcPr>
          <w:p w14:paraId="46C69D11">
            <w:pPr>
              <w:snapToGrid w:val="0"/>
              <w:jc w:val="center"/>
            </w:pPr>
            <w:r>
              <w:rPr>
                <w:rFonts w:ascii="宋体" w:hAnsi="宋体" w:eastAsia="宋体"/>
                <w:sz w:val="24"/>
              </w:rPr>
              <w:t>(2024年度)</w:t>
            </w:r>
          </w:p>
        </w:tc>
      </w:tr>
      <w:tr w14:paraId="2B9F215A">
        <w:tblPrEx>
          <w:tblCellMar>
            <w:top w:w="32" w:type="dxa"/>
            <w:left w:w="64" w:type="dxa"/>
            <w:bottom w:w="32" w:type="dxa"/>
            <w:right w:w="64" w:type="dxa"/>
          </w:tblCellMar>
        </w:tblPrEx>
        <w:trPr>
          <w:trHeight w:val="0" w:hRule="atLeast"/>
          <w:jc w:val="center"/>
        </w:trPr>
        <w:tc>
          <w:tcPr>
            <w:tcW w:w="357" w:type="pct"/>
            <w:tcBorders>
              <w:top w:val="single" w:color="auto" w:sz="10" w:space="0"/>
              <w:left w:val="single" w:color="auto" w:sz="10" w:space="0"/>
              <w:bottom w:val="single" w:color="auto" w:sz="10" w:space="0"/>
              <w:right w:val="single" w:color="auto" w:sz="10" w:space="0"/>
              <w:insideV w:val="single" w:sz="10" w:space="0"/>
            </w:tcBorders>
            <w:vAlign w:val="center"/>
          </w:tcPr>
          <w:p w14:paraId="196402D3">
            <w:pPr>
              <w:snapToGrid w:val="0"/>
              <w:jc w:val="center"/>
            </w:pPr>
            <w:r>
              <w:rPr>
                <w:rFonts w:ascii="宋体" w:hAnsi="宋体" w:eastAsia="宋体"/>
                <w:sz w:val="16"/>
              </w:rPr>
              <w:t>项目名称</w:t>
            </w:r>
          </w:p>
        </w:tc>
        <w:tc>
          <w:tcPr>
            <w:tcW w:w="4642" w:type="pct"/>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5B8D1AB">
            <w:pPr>
              <w:snapToGrid w:val="0"/>
              <w:jc w:val="center"/>
            </w:pPr>
            <w:r>
              <w:rPr>
                <w:rFonts w:ascii="宋体" w:hAnsi="宋体" w:eastAsia="宋体"/>
                <w:sz w:val="16"/>
              </w:rPr>
              <w:t>和田县2023年中央自然灾害救灾资金（抗旱）</w:t>
            </w:r>
          </w:p>
        </w:tc>
      </w:tr>
      <w:tr w14:paraId="2F5C6543">
        <w:tblPrEx>
          <w:tblCellMar>
            <w:top w:w="32" w:type="dxa"/>
            <w:left w:w="64" w:type="dxa"/>
            <w:bottom w:w="32" w:type="dxa"/>
            <w:right w:w="64" w:type="dxa"/>
          </w:tblCellMar>
        </w:tblPrEx>
        <w:trPr>
          <w:trHeight w:val="0" w:hRule="atLeast"/>
          <w:jc w:val="center"/>
        </w:trPr>
        <w:tc>
          <w:tcPr>
            <w:tcW w:w="357" w:type="pct"/>
            <w:tcBorders>
              <w:top w:val="single" w:color="auto" w:sz="10" w:space="0"/>
              <w:left w:val="single" w:color="auto" w:sz="10" w:space="0"/>
              <w:bottom w:val="single" w:color="auto" w:sz="10" w:space="0"/>
              <w:right w:val="single" w:color="auto" w:sz="10" w:space="0"/>
              <w:insideV w:val="single" w:sz="10" w:space="0"/>
            </w:tcBorders>
            <w:vAlign w:val="center"/>
          </w:tcPr>
          <w:p w14:paraId="5A452EB6">
            <w:pPr>
              <w:snapToGrid w:val="0"/>
              <w:jc w:val="center"/>
            </w:pPr>
            <w:r>
              <w:rPr>
                <w:rFonts w:ascii="宋体" w:hAnsi="宋体" w:eastAsia="宋体"/>
                <w:sz w:val="16"/>
              </w:rPr>
              <w:t>主管部门</w:t>
            </w:r>
          </w:p>
        </w:tc>
        <w:tc>
          <w:tcPr>
            <w:tcW w:w="205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49CF716">
            <w:pPr>
              <w:snapToGrid w:val="0"/>
              <w:jc w:val="center"/>
            </w:pPr>
            <w:r>
              <w:rPr>
                <w:rFonts w:ascii="宋体" w:hAnsi="宋体" w:eastAsia="宋体"/>
                <w:sz w:val="16"/>
              </w:rPr>
              <w:t>和田县应急管理局</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4BE9AC64">
            <w:pPr>
              <w:snapToGrid w:val="0"/>
              <w:jc w:val="center"/>
            </w:pPr>
            <w:r>
              <w:rPr>
                <w:rFonts w:ascii="宋体" w:hAnsi="宋体" w:eastAsia="宋体"/>
                <w:sz w:val="16"/>
              </w:rPr>
              <w:t>实施单位</w:t>
            </w:r>
          </w:p>
        </w:tc>
        <w:tc>
          <w:tcPr>
            <w:tcW w:w="2007" w:type="pct"/>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732B754">
            <w:pPr>
              <w:snapToGrid w:val="0"/>
              <w:jc w:val="center"/>
            </w:pPr>
            <w:r>
              <w:rPr>
                <w:rFonts w:ascii="宋体" w:hAnsi="宋体" w:eastAsia="宋体"/>
                <w:sz w:val="16"/>
              </w:rPr>
              <w:t>和田县应急管理局</w:t>
            </w:r>
          </w:p>
        </w:tc>
      </w:tr>
      <w:tr w14:paraId="592BA930">
        <w:tblPrEx>
          <w:tblCellMar>
            <w:top w:w="32" w:type="dxa"/>
            <w:left w:w="64" w:type="dxa"/>
            <w:bottom w:w="32" w:type="dxa"/>
            <w:right w:w="64" w:type="dxa"/>
          </w:tblCellMar>
        </w:tblPrEx>
        <w:trPr>
          <w:trHeight w:val="0" w:hRule="atLeast"/>
          <w:jc w:val="center"/>
        </w:trPr>
        <w:tc>
          <w:tcPr>
            <w:tcW w:w="35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DB1CCC">
            <w:pPr>
              <w:snapToGrid w:val="0"/>
              <w:jc w:val="center"/>
            </w:pPr>
            <w:r>
              <w:rPr>
                <w:rFonts w:ascii="宋体" w:hAnsi="宋体" w:eastAsia="宋体"/>
                <w:sz w:val="16"/>
              </w:rPr>
              <w:t>项目资金 （万元）</w:t>
            </w:r>
          </w:p>
        </w:tc>
        <w:tc>
          <w:tcPr>
            <w:tcW w:w="1034"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3FC85F">
            <w:pPr>
              <w:snapToGrid w:val="0"/>
              <w:jc w:val="center"/>
            </w:pP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5CC36758">
            <w:pPr>
              <w:snapToGrid w:val="0"/>
              <w:jc w:val="center"/>
            </w:pPr>
            <w:r>
              <w:rPr>
                <w:rFonts w:ascii="宋体" w:hAnsi="宋体" w:eastAsia="宋体"/>
                <w:sz w:val="16"/>
              </w:rPr>
              <w:t>年初预算数</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56357B10">
            <w:pPr>
              <w:snapToGrid w:val="0"/>
              <w:jc w:val="center"/>
            </w:pPr>
            <w:r>
              <w:rPr>
                <w:rFonts w:ascii="宋体" w:hAnsi="宋体" w:eastAsia="宋体"/>
                <w:sz w:val="16"/>
              </w:rPr>
              <w:t>全年预算数</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1679AC3F">
            <w:pPr>
              <w:snapToGrid w:val="0"/>
              <w:jc w:val="center"/>
            </w:pPr>
            <w:r>
              <w:rPr>
                <w:rFonts w:ascii="宋体" w:hAnsi="宋体" w:eastAsia="宋体"/>
                <w:sz w:val="16"/>
              </w:rPr>
              <w:t>全年执行数</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3889F90F">
            <w:pPr>
              <w:snapToGrid w:val="0"/>
              <w:jc w:val="center"/>
            </w:pPr>
            <w:r>
              <w:rPr>
                <w:rFonts w:ascii="宋体" w:hAnsi="宋体" w:eastAsia="宋体"/>
                <w:sz w:val="16"/>
              </w:rPr>
              <w:t>分值</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58659A63">
            <w:pPr>
              <w:snapToGrid w:val="0"/>
              <w:jc w:val="center"/>
            </w:pPr>
            <w:r>
              <w:rPr>
                <w:rFonts w:ascii="宋体" w:hAnsi="宋体" w:eastAsia="宋体"/>
                <w:sz w:val="16"/>
              </w:rPr>
              <w:t>执行率</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6C7CBDD6">
            <w:pPr>
              <w:snapToGrid w:val="0"/>
              <w:jc w:val="center"/>
            </w:pPr>
            <w:r>
              <w:rPr>
                <w:rFonts w:ascii="宋体" w:hAnsi="宋体" w:eastAsia="宋体"/>
                <w:sz w:val="16"/>
              </w:rPr>
              <w:t>得分</w:t>
            </w:r>
          </w:p>
        </w:tc>
      </w:tr>
      <w:tr w14:paraId="05EB719E">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3453DC59">
            <w:pPr>
              <w:snapToGrid w:val="0"/>
            </w:pPr>
          </w:p>
        </w:tc>
        <w:tc>
          <w:tcPr>
            <w:tcW w:w="1034"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65C4D1">
            <w:pPr>
              <w:snapToGrid w:val="0"/>
              <w:jc w:val="center"/>
            </w:pPr>
            <w:r>
              <w:rPr>
                <w:rFonts w:ascii="宋体" w:hAnsi="宋体" w:eastAsia="宋体"/>
                <w:sz w:val="16"/>
              </w:rPr>
              <w:t>年度资金总额</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0B1EB9F3">
            <w:pPr>
              <w:snapToGrid w:val="0"/>
              <w:jc w:val="center"/>
            </w:pPr>
            <w:r>
              <w:rPr>
                <w:rFonts w:ascii="宋体" w:hAnsi="宋体" w:eastAsia="宋体"/>
                <w:sz w:val="16"/>
              </w:rPr>
              <w:t>25.00</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59A4A77F">
            <w:pPr>
              <w:snapToGrid w:val="0"/>
              <w:jc w:val="center"/>
            </w:pPr>
            <w:r>
              <w:rPr>
                <w:rFonts w:ascii="宋体" w:hAnsi="宋体" w:eastAsia="宋体"/>
                <w:sz w:val="16"/>
              </w:rPr>
              <w:t>25.00</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20A7A853">
            <w:pPr>
              <w:snapToGrid w:val="0"/>
              <w:jc w:val="center"/>
            </w:pPr>
            <w:r>
              <w:rPr>
                <w:rFonts w:ascii="宋体" w:hAnsi="宋体" w:eastAsia="宋体"/>
                <w:sz w:val="16"/>
              </w:rPr>
              <w:t>25.00</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3BC0A558">
            <w:pPr>
              <w:snapToGrid w:val="0"/>
              <w:jc w:val="center"/>
            </w:pPr>
            <w:r>
              <w:rPr>
                <w:rFonts w:ascii="宋体" w:hAnsi="宋体" w:eastAsia="宋体"/>
                <w:sz w:val="16"/>
              </w:rPr>
              <w:t>10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385B4727">
            <w:pPr>
              <w:snapToGrid w:val="0"/>
              <w:jc w:val="center"/>
            </w:pPr>
            <w:r>
              <w:rPr>
                <w:rFonts w:ascii="宋体" w:hAnsi="宋体" w:eastAsia="宋体"/>
                <w:sz w:val="16"/>
              </w:rPr>
              <w:t xml:space="preserve">100.00% </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343F8C60">
            <w:pPr>
              <w:snapToGrid w:val="0"/>
              <w:jc w:val="center"/>
            </w:pPr>
            <w:r>
              <w:rPr>
                <w:rFonts w:ascii="宋体" w:hAnsi="宋体" w:eastAsia="宋体"/>
                <w:sz w:val="16"/>
              </w:rPr>
              <w:t>10.00分</w:t>
            </w:r>
          </w:p>
        </w:tc>
      </w:tr>
      <w:tr w14:paraId="133BD210">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3AC7E7A9">
            <w:pPr>
              <w:snapToGrid w:val="0"/>
            </w:pPr>
          </w:p>
        </w:tc>
        <w:tc>
          <w:tcPr>
            <w:tcW w:w="1034"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B5B596">
            <w:pPr>
              <w:snapToGrid w:val="0"/>
              <w:jc w:val="center"/>
            </w:pPr>
            <w:r>
              <w:rPr>
                <w:rFonts w:ascii="宋体" w:hAnsi="宋体" w:eastAsia="宋体"/>
                <w:sz w:val="16"/>
              </w:rPr>
              <w:t>其中：当年财政拨款</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6F5DCAA3">
            <w:pPr>
              <w:snapToGrid w:val="0"/>
              <w:jc w:val="center"/>
            </w:pPr>
            <w:r>
              <w:rPr>
                <w:rFonts w:ascii="宋体" w:hAnsi="宋体" w:eastAsia="宋体"/>
                <w:sz w:val="16"/>
              </w:rPr>
              <w:t>25.00</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093B042D">
            <w:pPr>
              <w:snapToGrid w:val="0"/>
              <w:jc w:val="center"/>
            </w:pPr>
            <w:r>
              <w:rPr>
                <w:rFonts w:ascii="宋体" w:hAnsi="宋体" w:eastAsia="宋体"/>
                <w:sz w:val="16"/>
              </w:rPr>
              <w:t>25.00</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5242386F">
            <w:pPr>
              <w:snapToGrid w:val="0"/>
              <w:jc w:val="center"/>
            </w:pPr>
            <w:r>
              <w:rPr>
                <w:rFonts w:ascii="宋体" w:hAnsi="宋体" w:eastAsia="宋体"/>
                <w:sz w:val="16"/>
              </w:rPr>
              <w:t>25.00</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10BF1F41">
            <w:pPr>
              <w:snapToGrid w:val="0"/>
              <w:jc w:val="center"/>
            </w:pPr>
            <w:r>
              <w:rPr>
                <w:rFonts w:ascii="宋体" w:hAnsi="宋体" w:eastAsia="宋体"/>
                <w:sz w:val="16"/>
              </w:rPr>
              <w:t>—</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6EA829C7">
            <w:pPr>
              <w:snapToGrid w:val="0"/>
              <w:jc w:val="center"/>
            </w:pPr>
            <w:r>
              <w:rPr>
                <w:rFonts w:ascii="宋体" w:hAnsi="宋体" w:eastAsia="宋体"/>
                <w:sz w:val="16"/>
              </w:rPr>
              <w:t>—</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3A425C49">
            <w:pPr>
              <w:snapToGrid w:val="0"/>
              <w:jc w:val="center"/>
            </w:pPr>
            <w:r>
              <w:rPr>
                <w:rFonts w:ascii="宋体" w:hAnsi="宋体" w:eastAsia="宋体"/>
                <w:sz w:val="16"/>
              </w:rPr>
              <w:t>—</w:t>
            </w:r>
          </w:p>
        </w:tc>
      </w:tr>
      <w:tr w14:paraId="1AB0C7DC">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37795772">
            <w:pPr>
              <w:snapToGrid w:val="0"/>
            </w:pPr>
          </w:p>
        </w:tc>
        <w:tc>
          <w:tcPr>
            <w:tcW w:w="1034"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87A1DC">
            <w:pPr>
              <w:snapToGrid w:val="0"/>
              <w:jc w:val="center"/>
            </w:pPr>
            <w:r>
              <w:rPr>
                <w:rFonts w:ascii="宋体" w:hAnsi="宋体" w:eastAsia="宋体"/>
                <w:sz w:val="16"/>
              </w:rPr>
              <w:t xml:space="preserve">      上年结转资金</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06AFAB2D">
            <w:pPr>
              <w:snapToGrid w:val="0"/>
              <w:jc w:val="center"/>
            </w:pPr>
            <w:r>
              <w:rPr>
                <w:rFonts w:ascii="宋体" w:hAnsi="宋体" w:eastAsia="宋体"/>
                <w:sz w:val="16"/>
              </w:rPr>
              <w:t>0.00</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4B61E9B3">
            <w:pPr>
              <w:snapToGrid w:val="0"/>
              <w:jc w:val="center"/>
            </w:pPr>
            <w:r>
              <w:rPr>
                <w:rFonts w:ascii="宋体" w:hAnsi="宋体" w:eastAsia="宋体"/>
                <w:sz w:val="16"/>
              </w:rPr>
              <w:t>0.00</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7C2CD23F">
            <w:pPr>
              <w:snapToGrid w:val="0"/>
              <w:jc w:val="center"/>
            </w:pPr>
            <w:r>
              <w:rPr>
                <w:rFonts w:ascii="宋体" w:hAnsi="宋体" w:eastAsia="宋体"/>
                <w:sz w:val="16"/>
              </w:rPr>
              <w:t>0.00</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6F3D9F8E">
            <w:pPr>
              <w:snapToGrid w:val="0"/>
              <w:jc w:val="center"/>
            </w:pPr>
            <w:r>
              <w:rPr>
                <w:rFonts w:ascii="宋体" w:hAnsi="宋体" w:eastAsia="宋体"/>
                <w:sz w:val="16"/>
              </w:rPr>
              <w:t>—</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368C9460">
            <w:pPr>
              <w:snapToGrid w:val="0"/>
              <w:jc w:val="center"/>
            </w:pPr>
            <w:r>
              <w:rPr>
                <w:rFonts w:ascii="宋体" w:hAnsi="宋体" w:eastAsia="宋体"/>
                <w:sz w:val="16"/>
              </w:rPr>
              <w:t>—</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28197B68">
            <w:pPr>
              <w:snapToGrid w:val="0"/>
              <w:jc w:val="center"/>
            </w:pPr>
            <w:r>
              <w:rPr>
                <w:rFonts w:ascii="宋体" w:hAnsi="宋体" w:eastAsia="宋体"/>
                <w:sz w:val="16"/>
              </w:rPr>
              <w:t>—</w:t>
            </w:r>
          </w:p>
        </w:tc>
      </w:tr>
      <w:tr w14:paraId="5B714752">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6B8F3C85">
            <w:pPr>
              <w:snapToGrid w:val="0"/>
            </w:pPr>
          </w:p>
        </w:tc>
        <w:tc>
          <w:tcPr>
            <w:tcW w:w="1034"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141093">
            <w:pPr>
              <w:snapToGrid w:val="0"/>
              <w:jc w:val="center"/>
            </w:pPr>
            <w:r>
              <w:rPr>
                <w:rFonts w:ascii="宋体" w:hAnsi="宋体" w:eastAsia="宋体"/>
                <w:sz w:val="16"/>
              </w:rPr>
              <w:t xml:space="preserve">  其他资金</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1831339F">
            <w:pPr>
              <w:snapToGrid w:val="0"/>
              <w:jc w:val="center"/>
            </w:pPr>
            <w:r>
              <w:rPr>
                <w:rFonts w:ascii="宋体" w:hAnsi="宋体" w:eastAsia="宋体"/>
                <w:sz w:val="16"/>
              </w:rPr>
              <w:t>0.00</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0C0CF614">
            <w:pPr>
              <w:snapToGrid w:val="0"/>
              <w:jc w:val="center"/>
            </w:pPr>
            <w:r>
              <w:rPr>
                <w:rFonts w:ascii="宋体" w:hAnsi="宋体" w:eastAsia="宋体"/>
                <w:sz w:val="16"/>
              </w:rPr>
              <w:t>0.00</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323F2AF9">
            <w:pPr>
              <w:snapToGrid w:val="0"/>
              <w:jc w:val="center"/>
            </w:pPr>
            <w:r>
              <w:rPr>
                <w:rFonts w:ascii="宋体" w:hAnsi="宋体" w:eastAsia="宋体"/>
                <w:sz w:val="16"/>
              </w:rPr>
              <w:t>0.00</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773908BB">
            <w:pPr>
              <w:snapToGrid w:val="0"/>
              <w:jc w:val="center"/>
            </w:pPr>
            <w:r>
              <w:rPr>
                <w:rFonts w:ascii="宋体" w:hAnsi="宋体" w:eastAsia="宋体"/>
                <w:sz w:val="16"/>
              </w:rPr>
              <w:t>—</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51392B80">
            <w:pPr>
              <w:snapToGrid w:val="0"/>
              <w:jc w:val="center"/>
            </w:pPr>
            <w:r>
              <w:rPr>
                <w:rFonts w:ascii="宋体" w:hAnsi="宋体" w:eastAsia="宋体"/>
                <w:sz w:val="16"/>
              </w:rPr>
              <w:t>—</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4860D25C">
            <w:pPr>
              <w:snapToGrid w:val="0"/>
              <w:jc w:val="center"/>
            </w:pPr>
            <w:r>
              <w:rPr>
                <w:rFonts w:ascii="宋体" w:hAnsi="宋体" w:eastAsia="宋体"/>
                <w:sz w:val="16"/>
              </w:rPr>
              <w:t>—</w:t>
            </w:r>
          </w:p>
        </w:tc>
      </w:tr>
      <w:tr w14:paraId="6EC028C8">
        <w:tblPrEx>
          <w:tblCellMar>
            <w:top w:w="32" w:type="dxa"/>
            <w:left w:w="64" w:type="dxa"/>
            <w:bottom w:w="32" w:type="dxa"/>
            <w:right w:w="64" w:type="dxa"/>
          </w:tblCellMar>
        </w:tblPrEx>
        <w:trPr>
          <w:trHeight w:val="0" w:hRule="atLeast"/>
          <w:jc w:val="center"/>
        </w:trPr>
        <w:tc>
          <w:tcPr>
            <w:tcW w:w="35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E7B780">
            <w:pPr>
              <w:snapToGrid w:val="0"/>
              <w:jc w:val="center"/>
            </w:pPr>
            <w:r>
              <w:rPr>
                <w:rFonts w:ascii="宋体" w:hAnsi="宋体" w:eastAsia="宋体"/>
                <w:sz w:val="16"/>
              </w:rPr>
              <w:t>年度总体目标</w:t>
            </w:r>
          </w:p>
        </w:tc>
        <w:tc>
          <w:tcPr>
            <w:tcW w:w="205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19F3910">
            <w:pPr>
              <w:snapToGrid w:val="0"/>
              <w:jc w:val="center"/>
            </w:pPr>
            <w:r>
              <w:rPr>
                <w:rFonts w:ascii="宋体" w:hAnsi="宋体" w:eastAsia="宋体"/>
                <w:sz w:val="16"/>
              </w:rPr>
              <w:t>预期目标</w:t>
            </w:r>
          </w:p>
        </w:tc>
        <w:tc>
          <w:tcPr>
            <w:tcW w:w="2584"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FA38915">
            <w:pPr>
              <w:snapToGrid w:val="0"/>
              <w:jc w:val="center"/>
            </w:pPr>
            <w:r>
              <w:rPr>
                <w:rFonts w:ascii="宋体" w:hAnsi="宋体" w:eastAsia="宋体"/>
                <w:sz w:val="16"/>
              </w:rPr>
              <w:t>实际完成情况</w:t>
            </w:r>
          </w:p>
        </w:tc>
      </w:tr>
      <w:tr w14:paraId="546FA322">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57661A70">
            <w:pPr>
              <w:snapToGrid w:val="0"/>
            </w:pPr>
          </w:p>
        </w:tc>
        <w:tc>
          <w:tcPr>
            <w:tcW w:w="205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CF07F94">
            <w:pPr>
              <w:snapToGrid w:val="0"/>
              <w:jc w:val="both"/>
            </w:pPr>
            <w:r>
              <w:rPr>
                <w:rFonts w:ascii="宋体" w:hAnsi="宋体" w:eastAsia="宋体"/>
                <w:sz w:val="16"/>
              </w:rPr>
              <w:t>和田县2023年中央自然灾害救灾资金（抗旱）项目资金为25万元。用于和田县抗旱机电井10座维修工作，通过实施本次项目有效消除各类安全隐患问题，保障机电设备能够安全运行，春季能够发挥机电井补充水源作用，使受益农民满意度达到95%以上。</w:t>
            </w:r>
          </w:p>
        </w:tc>
        <w:tc>
          <w:tcPr>
            <w:tcW w:w="2584"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7624AA5">
            <w:pPr>
              <w:snapToGrid w:val="0"/>
              <w:jc w:val="both"/>
            </w:pPr>
            <w:r>
              <w:rPr>
                <w:rFonts w:ascii="宋体" w:hAnsi="宋体" w:eastAsia="宋体"/>
                <w:sz w:val="16"/>
              </w:rPr>
              <w:t>本项目截止至2024年12月31日，已完成和田县维修抗旱机电井10座，通过实施本次项目有效消除各类安全隐患问题，保障机电设备能够安全运行，春季能够发挥机电井补充水源作用，使受益农民满意度达到95%。</w:t>
            </w:r>
          </w:p>
        </w:tc>
      </w:tr>
      <w:tr w14:paraId="1EC76EFC">
        <w:tblPrEx>
          <w:tblCellMar>
            <w:top w:w="32" w:type="dxa"/>
            <w:left w:w="64" w:type="dxa"/>
            <w:bottom w:w="32" w:type="dxa"/>
            <w:right w:w="64" w:type="dxa"/>
          </w:tblCellMar>
        </w:tblPrEx>
        <w:trPr>
          <w:trHeight w:val="0" w:hRule="atLeast"/>
          <w:jc w:val="center"/>
        </w:trPr>
        <w:tc>
          <w:tcPr>
            <w:tcW w:w="357" w:type="pct"/>
            <w:tcBorders>
              <w:top w:val="single" w:color="auto" w:sz="10" w:space="0"/>
              <w:left w:val="single" w:color="auto" w:sz="10" w:space="0"/>
              <w:bottom w:val="single" w:color="auto" w:sz="10" w:space="0"/>
              <w:right w:val="single" w:color="auto" w:sz="10" w:space="0"/>
              <w:insideV w:val="single" w:sz="10" w:space="0"/>
            </w:tcBorders>
          </w:tcPr>
          <w:p w14:paraId="11AA60F3">
            <w:pPr>
              <w:snapToGrid w:val="0"/>
            </w:pPr>
          </w:p>
        </w:tc>
        <w:tc>
          <w:tcPr>
            <w:tcW w:w="487" w:type="pct"/>
            <w:tcBorders>
              <w:top w:val="single" w:color="auto" w:sz="10" w:space="0"/>
              <w:left w:val="single" w:color="auto" w:sz="10" w:space="0"/>
              <w:bottom w:val="single" w:color="auto" w:sz="10" w:space="0"/>
              <w:right w:val="single" w:color="auto" w:sz="10" w:space="0"/>
              <w:insideV w:val="single" w:sz="10" w:space="0"/>
            </w:tcBorders>
            <w:vAlign w:val="center"/>
          </w:tcPr>
          <w:p w14:paraId="7B90254F">
            <w:pPr>
              <w:snapToGrid w:val="0"/>
              <w:jc w:val="center"/>
            </w:pPr>
            <w:r>
              <w:rPr>
                <w:rFonts w:ascii="宋体" w:hAnsi="宋体" w:eastAsia="宋体"/>
                <w:sz w:val="16"/>
              </w:rPr>
              <w:t>一级指标</w:t>
            </w:r>
          </w:p>
        </w:tc>
        <w:tc>
          <w:tcPr>
            <w:tcW w:w="547" w:type="pct"/>
            <w:tcBorders>
              <w:top w:val="single" w:color="auto" w:sz="10" w:space="0"/>
              <w:left w:val="single" w:color="auto" w:sz="10" w:space="0"/>
              <w:bottom w:val="single" w:color="auto" w:sz="10" w:space="0"/>
              <w:right w:val="single" w:color="auto" w:sz="10" w:space="0"/>
              <w:insideV w:val="single" w:sz="10" w:space="0"/>
            </w:tcBorders>
            <w:vAlign w:val="center"/>
          </w:tcPr>
          <w:p w14:paraId="19AEE6D7">
            <w:pPr>
              <w:snapToGrid w:val="0"/>
              <w:jc w:val="center"/>
            </w:pPr>
            <w:r>
              <w:rPr>
                <w:rFonts w:ascii="宋体" w:hAnsi="宋体" w:eastAsia="宋体"/>
                <w:sz w:val="16"/>
              </w:rPr>
              <w:t>二级指标</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5171D772">
            <w:pPr>
              <w:snapToGrid w:val="0"/>
              <w:jc w:val="center"/>
            </w:pPr>
            <w:r>
              <w:rPr>
                <w:rFonts w:ascii="宋体" w:hAnsi="宋体" w:eastAsia="宋体"/>
                <w:sz w:val="16"/>
              </w:rPr>
              <w:t>三级指标</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64458D45">
            <w:pPr>
              <w:snapToGrid w:val="0"/>
              <w:jc w:val="center"/>
            </w:pPr>
            <w:r>
              <w:rPr>
                <w:rFonts w:ascii="宋体" w:hAnsi="宋体" w:eastAsia="宋体"/>
                <w:sz w:val="16"/>
              </w:rPr>
              <w:t>年度指标值</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241196E2">
            <w:pPr>
              <w:snapToGrid w:val="0"/>
              <w:jc w:val="center"/>
            </w:pPr>
            <w:r>
              <w:rPr>
                <w:rFonts w:ascii="宋体" w:hAnsi="宋体" w:eastAsia="宋体"/>
                <w:sz w:val="16"/>
              </w:rPr>
              <w:t>实际完成值</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121E2B14">
            <w:pPr>
              <w:snapToGrid w:val="0"/>
              <w:jc w:val="center"/>
            </w:pPr>
            <w:r>
              <w:rPr>
                <w:rFonts w:ascii="宋体" w:hAnsi="宋体" w:eastAsia="宋体"/>
                <w:sz w:val="16"/>
              </w:rPr>
              <w:t>分值</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6474B4BA">
            <w:pPr>
              <w:snapToGrid w:val="0"/>
              <w:jc w:val="center"/>
            </w:pPr>
            <w:r>
              <w:rPr>
                <w:rFonts w:ascii="宋体" w:hAnsi="宋体" w:eastAsia="宋体"/>
                <w:sz w:val="16"/>
              </w:rPr>
              <w:t>得分</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4C9DF877">
            <w:pPr>
              <w:snapToGrid w:val="0"/>
              <w:jc w:val="center"/>
            </w:pPr>
            <w:r>
              <w:rPr>
                <w:rFonts w:ascii="宋体" w:hAnsi="宋体" w:eastAsia="宋体"/>
                <w:sz w:val="16"/>
              </w:rPr>
              <w:t>偏差原因分析及改进措施</w:t>
            </w:r>
          </w:p>
        </w:tc>
      </w:tr>
      <w:tr w14:paraId="751CF6F5">
        <w:tblPrEx>
          <w:tblCellMar>
            <w:top w:w="32" w:type="dxa"/>
            <w:left w:w="64" w:type="dxa"/>
            <w:bottom w:w="32" w:type="dxa"/>
            <w:right w:w="64" w:type="dxa"/>
          </w:tblCellMar>
        </w:tblPrEx>
        <w:trPr>
          <w:trHeight w:val="0" w:hRule="atLeast"/>
          <w:jc w:val="center"/>
        </w:trPr>
        <w:tc>
          <w:tcPr>
            <w:tcW w:w="35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949399">
            <w:pPr>
              <w:snapToGrid w:val="0"/>
              <w:jc w:val="center"/>
            </w:pPr>
            <w:r>
              <w:rPr>
                <w:rFonts w:ascii="宋体" w:hAnsi="宋体" w:eastAsia="宋体"/>
                <w:sz w:val="16"/>
              </w:rPr>
              <w:t>年度绩效指标完成情况</w:t>
            </w:r>
          </w:p>
        </w:tc>
        <w:tc>
          <w:tcPr>
            <w:tcW w:w="48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194141">
            <w:pPr>
              <w:snapToGrid w:val="0"/>
              <w:jc w:val="center"/>
            </w:pPr>
            <w:r>
              <w:rPr>
                <w:rFonts w:ascii="宋体" w:hAnsi="宋体" w:eastAsia="宋体"/>
                <w:sz w:val="16"/>
              </w:rPr>
              <w:t>产出指标</w:t>
            </w:r>
          </w:p>
        </w:tc>
        <w:tc>
          <w:tcPr>
            <w:tcW w:w="547" w:type="pct"/>
            <w:tcBorders>
              <w:top w:val="single" w:color="auto" w:sz="10" w:space="0"/>
              <w:left w:val="single" w:color="auto" w:sz="10" w:space="0"/>
              <w:bottom w:val="single" w:color="auto" w:sz="10" w:space="0"/>
              <w:right w:val="single" w:color="auto" w:sz="10" w:space="0"/>
              <w:insideV w:val="single" w:sz="10" w:space="0"/>
            </w:tcBorders>
            <w:vAlign w:val="center"/>
          </w:tcPr>
          <w:p w14:paraId="0D5CEE23">
            <w:pPr>
              <w:snapToGrid w:val="0"/>
              <w:jc w:val="center"/>
            </w:pPr>
            <w:r>
              <w:rPr>
                <w:rFonts w:ascii="宋体" w:hAnsi="宋体" w:eastAsia="宋体"/>
                <w:sz w:val="16"/>
              </w:rPr>
              <w:t>数量指标</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61331B02">
            <w:pPr>
              <w:snapToGrid w:val="0"/>
              <w:jc w:val="center"/>
            </w:pPr>
            <w:r>
              <w:rPr>
                <w:rFonts w:ascii="宋体" w:hAnsi="宋体" w:eastAsia="宋体"/>
                <w:sz w:val="16"/>
              </w:rPr>
              <w:t>维修抗旱机电井数量</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42331ED7">
            <w:pPr>
              <w:snapToGrid w:val="0"/>
              <w:jc w:val="center"/>
            </w:pPr>
            <w:r>
              <w:rPr>
                <w:rFonts w:ascii="宋体" w:hAnsi="宋体" w:eastAsia="宋体"/>
                <w:sz w:val="16"/>
              </w:rPr>
              <w:t>&gt;=10座</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161A025C">
            <w:pPr>
              <w:snapToGrid w:val="0"/>
              <w:jc w:val="center"/>
            </w:pPr>
            <w:r>
              <w:rPr>
                <w:rFonts w:ascii="宋体" w:hAnsi="宋体" w:eastAsia="宋体"/>
                <w:sz w:val="16"/>
              </w:rPr>
              <w:t>=10座</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0EEE1AC9">
            <w:pPr>
              <w:snapToGrid w:val="0"/>
              <w:jc w:val="center"/>
            </w:pPr>
            <w:r>
              <w:rPr>
                <w:rFonts w:ascii="宋体" w:hAnsi="宋体" w:eastAsia="宋体"/>
                <w:sz w:val="16"/>
              </w:rPr>
              <w:t>10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7D0B74F7">
            <w:pPr>
              <w:snapToGrid w:val="0"/>
              <w:jc w:val="center"/>
            </w:pPr>
            <w:r>
              <w:rPr>
                <w:rFonts w:ascii="宋体" w:hAnsi="宋体" w:eastAsia="宋体"/>
                <w:sz w:val="16"/>
              </w:rPr>
              <w:t>10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1FD4932A">
            <w:pPr>
              <w:snapToGrid w:val="0"/>
              <w:jc w:val="center"/>
            </w:pPr>
          </w:p>
        </w:tc>
      </w:tr>
      <w:tr w14:paraId="1E96D810">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05DD69EC">
            <w:pPr>
              <w:snapToGrid w:val="0"/>
            </w:pPr>
          </w:p>
        </w:tc>
        <w:tc>
          <w:tcPr>
            <w:tcW w:w="487" w:type="pct"/>
            <w:vMerge w:val="continue"/>
            <w:tcBorders>
              <w:top w:val="single" w:color="auto" w:sz="10" w:space="0"/>
              <w:left w:val="single" w:color="auto" w:sz="10" w:space="0"/>
              <w:bottom w:val="single" w:color="auto" w:sz="10" w:space="0"/>
              <w:right w:val="single" w:color="auto" w:sz="10" w:space="0"/>
              <w:insideV w:val="single" w:sz="10" w:space="0"/>
            </w:tcBorders>
          </w:tcPr>
          <w:p w14:paraId="7BB134CB">
            <w:pPr>
              <w:snapToGrid w:val="0"/>
            </w:pPr>
          </w:p>
        </w:tc>
        <w:tc>
          <w:tcPr>
            <w:tcW w:w="547" w:type="pct"/>
            <w:tcBorders>
              <w:top w:val="single" w:color="auto" w:sz="10" w:space="0"/>
              <w:left w:val="single" w:color="auto" w:sz="10" w:space="0"/>
              <w:bottom w:val="single" w:color="auto" w:sz="10" w:space="0"/>
              <w:right w:val="single" w:color="auto" w:sz="10" w:space="0"/>
              <w:insideV w:val="single" w:sz="10" w:space="0"/>
            </w:tcBorders>
            <w:vAlign w:val="center"/>
          </w:tcPr>
          <w:p w14:paraId="01E62C24">
            <w:pPr>
              <w:snapToGrid w:val="0"/>
              <w:jc w:val="center"/>
            </w:pPr>
            <w:r>
              <w:rPr>
                <w:rFonts w:ascii="宋体" w:hAnsi="宋体" w:eastAsia="宋体"/>
                <w:sz w:val="16"/>
              </w:rPr>
              <w:t>质量指标</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12970CDA">
            <w:pPr>
              <w:snapToGrid w:val="0"/>
              <w:jc w:val="center"/>
            </w:pPr>
            <w:r>
              <w:rPr>
                <w:rFonts w:ascii="宋体" w:hAnsi="宋体" w:eastAsia="宋体"/>
                <w:sz w:val="16"/>
              </w:rPr>
              <w:t>项目验收合格率</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420D8662">
            <w:pPr>
              <w:snapToGrid w:val="0"/>
              <w:jc w:val="center"/>
            </w:pPr>
            <w:r>
              <w:rPr>
                <w:rFonts w:ascii="宋体" w:hAnsi="宋体" w:eastAsia="宋体"/>
                <w:sz w:val="16"/>
              </w:rPr>
              <w:t>=100%</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328D5AF6">
            <w:pPr>
              <w:snapToGrid w:val="0"/>
              <w:jc w:val="center"/>
            </w:pPr>
            <w:r>
              <w:rPr>
                <w:rFonts w:ascii="宋体" w:hAnsi="宋体" w:eastAsia="宋体"/>
                <w:sz w:val="16"/>
              </w:rPr>
              <w:t>=100%</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009FE8A8">
            <w:pPr>
              <w:snapToGrid w:val="0"/>
              <w:jc w:val="center"/>
            </w:pPr>
            <w:r>
              <w:rPr>
                <w:rFonts w:ascii="宋体" w:hAnsi="宋体" w:eastAsia="宋体"/>
                <w:sz w:val="16"/>
              </w:rPr>
              <w:t>10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08257735">
            <w:pPr>
              <w:snapToGrid w:val="0"/>
              <w:jc w:val="center"/>
            </w:pPr>
            <w:r>
              <w:rPr>
                <w:rFonts w:ascii="宋体" w:hAnsi="宋体" w:eastAsia="宋体"/>
                <w:sz w:val="16"/>
              </w:rPr>
              <w:t>10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5C263B5F">
            <w:pPr>
              <w:snapToGrid w:val="0"/>
              <w:jc w:val="center"/>
            </w:pPr>
          </w:p>
        </w:tc>
      </w:tr>
      <w:tr w14:paraId="1B29AECA">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5178F262">
            <w:pPr>
              <w:snapToGrid w:val="0"/>
            </w:pPr>
          </w:p>
        </w:tc>
        <w:tc>
          <w:tcPr>
            <w:tcW w:w="487" w:type="pct"/>
            <w:vMerge w:val="continue"/>
            <w:tcBorders>
              <w:top w:val="single" w:color="auto" w:sz="10" w:space="0"/>
              <w:left w:val="single" w:color="auto" w:sz="10" w:space="0"/>
              <w:bottom w:val="single" w:color="auto" w:sz="10" w:space="0"/>
              <w:right w:val="single" w:color="auto" w:sz="10" w:space="0"/>
              <w:insideV w:val="single" w:sz="10" w:space="0"/>
            </w:tcBorders>
          </w:tcPr>
          <w:p w14:paraId="1E08A051">
            <w:pPr>
              <w:snapToGrid w:val="0"/>
            </w:pPr>
          </w:p>
        </w:tc>
        <w:tc>
          <w:tcPr>
            <w:tcW w:w="54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B6DB1E">
            <w:pPr>
              <w:snapToGrid w:val="0"/>
              <w:jc w:val="center"/>
            </w:pPr>
            <w:r>
              <w:rPr>
                <w:rFonts w:ascii="宋体" w:hAnsi="宋体" w:eastAsia="宋体"/>
                <w:sz w:val="16"/>
              </w:rPr>
              <w:t>时效指标</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1E8EDF12">
            <w:pPr>
              <w:snapToGrid w:val="0"/>
              <w:jc w:val="center"/>
            </w:pPr>
            <w:r>
              <w:rPr>
                <w:rFonts w:ascii="宋体" w:hAnsi="宋体" w:eastAsia="宋体"/>
                <w:sz w:val="16"/>
              </w:rPr>
              <w:t>项目完工时间</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41783FA4">
            <w:pPr>
              <w:snapToGrid w:val="0"/>
              <w:jc w:val="center"/>
            </w:pPr>
            <w:r>
              <w:rPr>
                <w:rFonts w:ascii="宋体" w:hAnsi="宋体" w:eastAsia="宋体"/>
                <w:sz w:val="16"/>
              </w:rPr>
              <w:t>=2024年5月前</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25F30D2D">
            <w:pPr>
              <w:snapToGrid w:val="0"/>
              <w:jc w:val="center"/>
            </w:pPr>
            <w:r>
              <w:rPr>
                <w:rFonts w:ascii="宋体" w:hAnsi="宋体" w:eastAsia="宋体"/>
                <w:sz w:val="16"/>
              </w:rPr>
              <w:t>=2024年5月前</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7B8FBCAA">
            <w:pPr>
              <w:snapToGrid w:val="0"/>
              <w:jc w:val="center"/>
            </w:pPr>
            <w:r>
              <w:rPr>
                <w:rFonts w:ascii="宋体" w:hAnsi="宋体" w:eastAsia="宋体"/>
                <w:sz w:val="16"/>
              </w:rPr>
              <w:t>10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4343DE35">
            <w:pPr>
              <w:snapToGrid w:val="0"/>
              <w:jc w:val="center"/>
            </w:pPr>
            <w:r>
              <w:rPr>
                <w:rFonts w:ascii="宋体" w:hAnsi="宋体" w:eastAsia="宋体"/>
                <w:sz w:val="16"/>
              </w:rPr>
              <w:t>10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02DB3856">
            <w:pPr>
              <w:snapToGrid w:val="0"/>
              <w:jc w:val="center"/>
            </w:pPr>
          </w:p>
        </w:tc>
      </w:tr>
      <w:tr w14:paraId="44BD9750">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222D808A">
            <w:pPr>
              <w:snapToGrid w:val="0"/>
            </w:pPr>
          </w:p>
        </w:tc>
        <w:tc>
          <w:tcPr>
            <w:tcW w:w="487" w:type="pct"/>
            <w:vMerge w:val="continue"/>
            <w:tcBorders>
              <w:top w:val="single" w:color="auto" w:sz="10" w:space="0"/>
              <w:left w:val="single" w:color="auto" w:sz="10" w:space="0"/>
              <w:bottom w:val="single" w:color="auto" w:sz="10" w:space="0"/>
              <w:right w:val="single" w:color="auto" w:sz="10" w:space="0"/>
              <w:insideV w:val="single" w:sz="10" w:space="0"/>
            </w:tcBorders>
          </w:tcPr>
          <w:p w14:paraId="2BE2D350">
            <w:pPr>
              <w:snapToGrid w:val="0"/>
            </w:pPr>
          </w:p>
        </w:tc>
        <w:tc>
          <w:tcPr>
            <w:tcW w:w="547" w:type="pct"/>
            <w:vMerge w:val="continue"/>
            <w:tcBorders>
              <w:top w:val="single" w:color="auto" w:sz="10" w:space="0"/>
              <w:left w:val="single" w:color="auto" w:sz="10" w:space="0"/>
              <w:bottom w:val="single" w:color="auto" w:sz="10" w:space="0"/>
              <w:right w:val="single" w:color="auto" w:sz="10" w:space="0"/>
              <w:insideV w:val="single" w:sz="10" w:space="0"/>
            </w:tcBorders>
          </w:tcPr>
          <w:p w14:paraId="0C8D9475">
            <w:pPr>
              <w:snapToGrid w:val="0"/>
            </w:pP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1B1C164F">
            <w:pPr>
              <w:snapToGrid w:val="0"/>
              <w:jc w:val="center"/>
            </w:pPr>
            <w:r>
              <w:rPr>
                <w:rFonts w:ascii="宋体" w:hAnsi="宋体" w:eastAsia="宋体"/>
                <w:sz w:val="16"/>
              </w:rPr>
              <w:t>资金支付及时率</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3B59B4D1">
            <w:pPr>
              <w:snapToGrid w:val="0"/>
              <w:jc w:val="center"/>
            </w:pPr>
            <w:r>
              <w:rPr>
                <w:rFonts w:ascii="宋体" w:hAnsi="宋体" w:eastAsia="宋体"/>
                <w:sz w:val="16"/>
              </w:rPr>
              <w:t>=100%</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2971BA05">
            <w:pPr>
              <w:snapToGrid w:val="0"/>
              <w:jc w:val="center"/>
            </w:pPr>
            <w:r>
              <w:rPr>
                <w:rFonts w:ascii="宋体" w:hAnsi="宋体" w:eastAsia="宋体"/>
                <w:sz w:val="16"/>
              </w:rPr>
              <w:t>=100%</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1C92A939">
            <w:pPr>
              <w:snapToGrid w:val="0"/>
              <w:jc w:val="center"/>
            </w:pPr>
            <w:r>
              <w:rPr>
                <w:rFonts w:ascii="宋体" w:hAnsi="宋体" w:eastAsia="宋体"/>
                <w:sz w:val="16"/>
              </w:rPr>
              <w:t>10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4FA517EB">
            <w:pPr>
              <w:snapToGrid w:val="0"/>
              <w:jc w:val="center"/>
            </w:pPr>
            <w:r>
              <w:rPr>
                <w:rFonts w:ascii="宋体" w:hAnsi="宋体" w:eastAsia="宋体"/>
                <w:sz w:val="16"/>
              </w:rPr>
              <w:t>10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4B0CF40F">
            <w:pPr>
              <w:snapToGrid w:val="0"/>
              <w:jc w:val="center"/>
            </w:pPr>
          </w:p>
        </w:tc>
      </w:tr>
      <w:tr w14:paraId="17F4A744">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45E98872">
            <w:pPr>
              <w:snapToGrid w:val="0"/>
            </w:pPr>
          </w:p>
        </w:tc>
        <w:tc>
          <w:tcPr>
            <w:tcW w:w="487" w:type="pct"/>
            <w:tcBorders>
              <w:top w:val="single" w:color="auto" w:sz="10" w:space="0"/>
              <w:left w:val="single" w:color="auto" w:sz="10" w:space="0"/>
              <w:bottom w:val="single" w:color="auto" w:sz="10" w:space="0"/>
              <w:right w:val="single" w:color="auto" w:sz="10" w:space="0"/>
              <w:insideV w:val="single" w:sz="10" w:space="0"/>
            </w:tcBorders>
            <w:vAlign w:val="center"/>
          </w:tcPr>
          <w:p w14:paraId="04D5C563">
            <w:pPr>
              <w:snapToGrid w:val="0"/>
              <w:jc w:val="center"/>
            </w:pPr>
            <w:r>
              <w:rPr>
                <w:rFonts w:ascii="宋体" w:hAnsi="宋体" w:eastAsia="宋体"/>
                <w:sz w:val="16"/>
              </w:rPr>
              <w:t>成本指标</w:t>
            </w:r>
          </w:p>
        </w:tc>
        <w:tc>
          <w:tcPr>
            <w:tcW w:w="547" w:type="pct"/>
            <w:tcBorders>
              <w:top w:val="single" w:color="auto" w:sz="10" w:space="0"/>
              <w:left w:val="single" w:color="auto" w:sz="10" w:space="0"/>
              <w:bottom w:val="single" w:color="auto" w:sz="10" w:space="0"/>
              <w:right w:val="single" w:color="auto" w:sz="10" w:space="0"/>
              <w:insideV w:val="single" w:sz="10" w:space="0"/>
            </w:tcBorders>
            <w:vAlign w:val="center"/>
          </w:tcPr>
          <w:p w14:paraId="4A879490">
            <w:pPr>
              <w:snapToGrid w:val="0"/>
              <w:jc w:val="center"/>
            </w:pPr>
            <w:r>
              <w:rPr>
                <w:rFonts w:ascii="宋体" w:hAnsi="宋体" w:eastAsia="宋体"/>
                <w:sz w:val="16"/>
              </w:rPr>
              <w:t>经济成本指标</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7C59AE99">
            <w:pPr>
              <w:snapToGrid w:val="0"/>
              <w:jc w:val="center"/>
            </w:pPr>
            <w:r>
              <w:rPr>
                <w:rFonts w:ascii="宋体" w:hAnsi="宋体" w:eastAsia="宋体"/>
                <w:sz w:val="16"/>
              </w:rPr>
              <w:t>维修抗旱机电井成本</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547E1C54">
            <w:pPr>
              <w:snapToGrid w:val="0"/>
              <w:jc w:val="center"/>
            </w:pPr>
            <w:r>
              <w:rPr>
                <w:rFonts w:ascii="宋体" w:hAnsi="宋体" w:eastAsia="宋体"/>
                <w:sz w:val="16"/>
              </w:rPr>
              <w:t>&lt;=2.50万元/座</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47809489">
            <w:pPr>
              <w:snapToGrid w:val="0"/>
              <w:jc w:val="center"/>
            </w:pPr>
            <w:r>
              <w:rPr>
                <w:rFonts w:ascii="宋体" w:hAnsi="宋体" w:eastAsia="宋体"/>
                <w:sz w:val="16"/>
              </w:rPr>
              <w:t>=2.5万元/座</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4DF78B7C">
            <w:pPr>
              <w:snapToGrid w:val="0"/>
              <w:jc w:val="center"/>
            </w:pPr>
            <w:r>
              <w:rPr>
                <w:rFonts w:ascii="宋体" w:hAnsi="宋体" w:eastAsia="宋体"/>
                <w:sz w:val="16"/>
              </w:rPr>
              <w:t>20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0A9A9653">
            <w:pPr>
              <w:snapToGrid w:val="0"/>
              <w:jc w:val="center"/>
            </w:pPr>
            <w:r>
              <w:rPr>
                <w:rFonts w:ascii="宋体" w:hAnsi="宋体" w:eastAsia="宋体"/>
                <w:sz w:val="16"/>
              </w:rPr>
              <w:t>20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79F07EFA">
            <w:pPr>
              <w:snapToGrid w:val="0"/>
              <w:jc w:val="center"/>
            </w:pPr>
          </w:p>
        </w:tc>
      </w:tr>
      <w:tr w14:paraId="79233FF8">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36B16C7F">
            <w:pPr>
              <w:snapToGrid w:val="0"/>
            </w:pPr>
          </w:p>
        </w:tc>
        <w:tc>
          <w:tcPr>
            <w:tcW w:w="487" w:type="pct"/>
            <w:tcBorders>
              <w:top w:val="single" w:color="auto" w:sz="10" w:space="0"/>
              <w:left w:val="single" w:color="auto" w:sz="10" w:space="0"/>
              <w:bottom w:val="single" w:color="auto" w:sz="10" w:space="0"/>
              <w:right w:val="single" w:color="auto" w:sz="10" w:space="0"/>
              <w:insideV w:val="single" w:sz="10" w:space="0"/>
            </w:tcBorders>
            <w:vAlign w:val="center"/>
          </w:tcPr>
          <w:p w14:paraId="7B33CC43">
            <w:pPr>
              <w:snapToGrid w:val="0"/>
              <w:jc w:val="center"/>
            </w:pPr>
            <w:r>
              <w:rPr>
                <w:rFonts w:ascii="宋体" w:hAnsi="宋体" w:eastAsia="宋体"/>
                <w:sz w:val="16"/>
              </w:rPr>
              <w:t>效益指标</w:t>
            </w:r>
          </w:p>
        </w:tc>
        <w:tc>
          <w:tcPr>
            <w:tcW w:w="547" w:type="pct"/>
            <w:tcBorders>
              <w:top w:val="single" w:color="auto" w:sz="10" w:space="0"/>
              <w:left w:val="single" w:color="auto" w:sz="10" w:space="0"/>
              <w:bottom w:val="single" w:color="auto" w:sz="10" w:space="0"/>
              <w:right w:val="single" w:color="auto" w:sz="10" w:space="0"/>
              <w:insideV w:val="single" w:sz="10" w:space="0"/>
            </w:tcBorders>
            <w:vAlign w:val="center"/>
          </w:tcPr>
          <w:p w14:paraId="1EE35686">
            <w:pPr>
              <w:snapToGrid w:val="0"/>
              <w:jc w:val="center"/>
            </w:pPr>
            <w:r>
              <w:rPr>
                <w:rFonts w:ascii="宋体" w:hAnsi="宋体" w:eastAsia="宋体"/>
                <w:sz w:val="16"/>
              </w:rPr>
              <w:t>社会效益指标</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298B9980">
            <w:pPr>
              <w:snapToGrid w:val="0"/>
              <w:jc w:val="center"/>
            </w:pPr>
            <w:r>
              <w:rPr>
                <w:rFonts w:ascii="宋体" w:hAnsi="宋体" w:eastAsia="宋体"/>
                <w:sz w:val="16"/>
              </w:rPr>
              <w:t>保障机电设备能够安全运行</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30877BF7">
            <w:pPr>
              <w:snapToGrid w:val="0"/>
              <w:jc w:val="center"/>
            </w:pPr>
            <w:r>
              <w:rPr>
                <w:rFonts w:ascii="宋体" w:hAnsi="宋体" w:eastAsia="宋体"/>
                <w:sz w:val="16"/>
              </w:rPr>
              <w:t>保障</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35375F2A">
            <w:pPr>
              <w:snapToGrid w:val="0"/>
              <w:jc w:val="center"/>
            </w:pPr>
            <w:r>
              <w:rPr>
                <w:rFonts w:ascii="宋体" w:hAnsi="宋体" w:eastAsia="宋体"/>
                <w:sz w:val="16"/>
              </w:rPr>
              <w:t>保障</w:t>
            </w:r>
            <w:r>
              <w:rPr>
                <w:rFonts w:ascii="宋体" w:hAnsi="宋体" w:eastAsia="宋体"/>
                <w:sz w:val="16"/>
              </w:rPr>
              <w:tab/>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2E5354D9">
            <w:pPr>
              <w:snapToGrid w:val="0"/>
              <w:jc w:val="center"/>
            </w:pPr>
            <w:r>
              <w:rPr>
                <w:rFonts w:ascii="宋体" w:hAnsi="宋体" w:eastAsia="宋体"/>
                <w:sz w:val="16"/>
              </w:rPr>
              <w:t>20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30B36E0E">
            <w:pPr>
              <w:snapToGrid w:val="0"/>
              <w:jc w:val="center"/>
            </w:pPr>
            <w:r>
              <w:rPr>
                <w:rFonts w:ascii="宋体" w:hAnsi="宋体" w:eastAsia="宋体"/>
                <w:sz w:val="16"/>
              </w:rPr>
              <w:t>20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469C6B3A">
            <w:pPr>
              <w:snapToGrid w:val="0"/>
              <w:jc w:val="center"/>
            </w:pPr>
          </w:p>
        </w:tc>
      </w:tr>
      <w:tr w14:paraId="7EADD3E5">
        <w:tblPrEx>
          <w:tblCellMar>
            <w:top w:w="32" w:type="dxa"/>
            <w:left w:w="64" w:type="dxa"/>
            <w:bottom w:w="32" w:type="dxa"/>
            <w:right w:w="64" w:type="dxa"/>
          </w:tblCellMar>
        </w:tblPrEx>
        <w:trPr>
          <w:trHeight w:val="0" w:hRule="atLeast"/>
          <w:jc w:val="center"/>
        </w:trPr>
        <w:tc>
          <w:tcPr>
            <w:tcW w:w="357" w:type="pct"/>
            <w:vMerge w:val="continue"/>
            <w:tcBorders>
              <w:top w:val="single" w:color="auto" w:sz="10" w:space="0"/>
              <w:left w:val="single" w:color="auto" w:sz="10" w:space="0"/>
              <w:bottom w:val="single" w:color="auto" w:sz="10" w:space="0"/>
              <w:right w:val="single" w:color="auto" w:sz="10" w:space="0"/>
              <w:insideV w:val="single" w:sz="10" w:space="0"/>
            </w:tcBorders>
          </w:tcPr>
          <w:p w14:paraId="3EBE1B90">
            <w:pPr>
              <w:snapToGrid w:val="0"/>
            </w:pPr>
          </w:p>
        </w:tc>
        <w:tc>
          <w:tcPr>
            <w:tcW w:w="487" w:type="pct"/>
            <w:tcBorders>
              <w:top w:val="single" w:color="auto" w:sz="10" w:space="0"/>
              <w:left w:val="single" w:color="auto" w:sz="10" w:space="0"/>
              <w:bottom w:val="single" w:color="auto" w:sz="10" w:space="0"/>
              <w:right w:val="single" w:color="auto" w:sz="10" w:space="0"/>
              <w:insideV w:val="single" w:sz="10" w:space="0"/>
            </w:tcBorders>
            <w:vAlign w:val="center"/>
          </w:tcPr>
          <w:p w14:paraId="75776F94">
            <w:pPr>
              <w:snapToGrid w:val="0"/>
              <w:jc w:val="center"/>
            </w:pPr>
            <w:r>
              <w:rPr>
                <w:rFonts w:ascii="宋体" w:hAnsi="宋体" w:eastAsia="宋体"/>
                <w:sz w:val="16"/>
              </w:rPr>
              <w:t>满意度指标</w:t>
            </w:r>
          </w:p>
        </w:tc>
        <w:tc>
          <w:tcPr>
            <w:tcW w:w="547" w:type="pct"/>
            <w:tcBorders>
              <w:top w:val="single" w:color="auto" w:sz="10" w:space="0"/>
              <w:left w:val="single" w:color="auto" w:sz="10" w:space="0"/>
              <w:bottom w:val="single" w:color="auto" w:sz="10" w:space="0"/>
              <w:right w:val="single" w:color="auto" w:sz="10" w:space="0"/>
              <w:insideV w:val="single" w:sz="10" w:space="0"/>
            </w:tcBorders>
            <w:vAlign w:val="center"/>
          </w:tcPr>
          <w:p w14:paraId="28AC3F37">
            <w:pPr>
              <w:snapToGrid w:val="0"/>
              <w:jc w:val="center"/>
            </w:pPr>
            <w:r>
              <w:rPr>
                <w:rFonts w:ascii="宋体" w:hAnsi="宋体" w:eastAsia="宋体"/>
                <w:sz w:val="16"/>
              </w:rPr>
              <w:t>满意度指标</w:t>
            </w:r>
          </w:p>
        </w:tc>
        <w:tc>
          <w:tcPr>
            <w:tcW w:w="1023" w:type="pct"/>
            <w:tcBorders>
              <w:top w:val="single" w:color="auto" w:sz="10" w:space="0"/>
              <w:left w:val="single" w:color="auto" w:sz="10" w:space="0"/>
              <w:bottom w:val="single" w:color="auto" w:sz="10" w:space="0"/>
              <w:right w:val="single" w:color="auto" w:sz="10" w:space="0"/>
              <w:insideV w:val="single" w:sz="10" w:space="0"/>
            </w:tcBorders>
            <w:vAlign w:val="center"/>
          </w:tcPr>
          <w:p w14:paraId="56BB4A47">
            <w:pPr>
              <w:snapToGrid w:val="0"/>
              <w:jc w:val="center"/>
            </w:pPr>
            <w:r>
              <w:rPr>
                <w:rFonts w:ascii="宋体" w:hAnsi="宋体" w:eastAsia="宋体"/>
                <w:sz w:val="16"/>
              </w:rPr>
              <w:t>收益农民满意度</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7CD4E1A9">
            <w:pPr>
              <w:snapToGrid w:val="0"/>
              <w:jc w:val="center"/>
            </w:pPr>
            <w:r>
              <w:rPr>
                <w:rFonts w:ascii="宋体" w:hAnsi="宋体" w:eastAsia="宋体"/>
                <w:sz w:val="16"/>
              </w:rPr>
              <w:t>&gt;=95%</w:t>
            </w:r>
          </w:p>
        </w:tc>
        <w:tc>
          <w:tcPr>
            <w:tcW w:w="537" w:type="pct"/>
            <w:tcBorders>
              <w:top w:val="single" w:color="auto" w:sz="10" w:space="0"/>
              <w:left w:val="single" w:color="auto" w:sz="10" w:space="0"/>
              <w:bottom w:val="single" w:color="auto" w:sz="10" w:space="0"/>
              <w:right w:val="single" w:color="auto" w:sz="10" w:space="0"/>
              <w:insideV w:val="single" w:sz="10" w:space="0"/>
            </w:tcBorders>
            <w:vAlign w:val="center"/>
          </w:tcPr>
          <w:p w14:paraId="1EA98E73">
            <w:pPr>
              <w:snapToGrid w:val="0"/>
              <w:jc w:val="center"/>
            </w:pPr>
            <w:r>
              <w:rPr>
                <w:rFonts w:ascii="宋体" w:hAnsi="宋体" w:eastAsia="宋体"/>
                <w:sz w:val="16"/>
              </w:rPr>
              <w:t>=95%</w:t>
            </w: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7AF58671">
            <w:pPr>
              <w:snapToGrid w:val="0"/>
              <w:jc w:val="center"/>
            </w:pPr>
            <w:r>
              <w:rPr>
                <w:rFonts w:ascii="宋体" w:hAnsi="宋体" w:eastAsia="宋体"/>
                <w:sz w:val="16"/>
              </w:rPr>
              <w:t>10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1672A8D0">
            <w:pPr>
              <w:snapToGrid w:val="0"/>
              <w:jc w:val="center"/>
            </w:pPr>
            <w:r>
              <w:rPr>
                <w:rFonts w:ascii="宋体" w:hAnsi="宋体" w:eastAsia="宋体"/>
                <w:sz w:val="16"/>
              </w:rPr>
              <w:t>10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6DECF7F1">
            <w:pPr>
              <w:snapToGrid w:val="0"/>
              <w:jc w:val="center"/>
            </w:pPr>
          </w:p>
        </w:tc>
      </w:tr>
      <w:tr w14:paraId="7ADAF199">
        <w:tblPrEx>
          <w:tblCellMar>
            <w:top w:w="32" w:type="dxa"/>
            <w:left w:w="64" w:type="dxa"/>
            <w:bottom w:w="32" w:type="dxa"/>
            <w:right w:w="64" w:type="dxa"/>
          </w:tblCellMar>
        </w:tblPrEx>
        <w:trPr>
          <w:trHeight w:val="0" w:hRule="atLeast"/>
          <w:jc w:val="center"/>
        </w:trPr>
        <w:tc>
          <w:tcPr>
            <w:tcW w:w="2992"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E9CBA5E">
            <w:pPr>
              <w:snapToGrid w:val="0"/>
              <w:jc w:val="center"/>
            </w:pPr>
            <w:r>
              <w:rPr>
                <w:rFonts w:ascii="宋体" w:hAnsi="宋体" w:eastAsia="宋体"/>
                <w:sz w:val="16"/>
              </w:rPr>
              <w:t>总分</w:t>
            </w:r>
          </w:p>
        </w:tc>
        <w:tc>
          <w:tcPr>
            <w:tcW w:w="537" w:type="pct"/>
            <w:tcBorders>
              <w:top w:val="single" w:color="auto" w:sz="10" w:space="0"/>
              <w:left w:val="single" w:color="auto" w:sz="10" w:space="0"/>
              <w:bottom w:val="single" w:color="auto" w:sz="10" w:space="0"/>
              <w:right w:val="single" w:color="auto" w:sz="10" w:space="0"/>
              <w:insideV w:val="single" w:sz="10" w:space="0"/>
            </w:tcBorders>
          </w:tcPr>
          <w:p w14:paraId="436BB2B8">
            <w:pPr>
              <w:snapToGrid w:val="0"/>
            </w:pPr>
          </w:p>
        </w:tc>
        <w:tc>
          <w:tcPr>
            <w:tcW w:w="279" w:type="pct"/>
            <w:tcBorders>
              <w:top w:val="single" w:color="auto" w:sz="10" w:space="0"/>
              <w:left w:val="single" w:color="auto" w:sz="10" w:space="0"/>
              <w:bottom w:val="single" w:color="auto" w:sz="10" w:space="0"/>
              <w:right w:val="single" w:color="auto" w:sz="10" w:space="0"/>
              <w:insideV w:val="single" w:sz="10" w:space="0"/>
            </w:tcBorders>
            <w:vAlign w:val="center"/>
          </w:tcPr>
          <w:p w14:paraId="570EF2A0">
            <w:pPr>
              <w:snapToGrid w:val="0"/>
              <w:jc w:val="center"/>
            </w:pPr>
            <w:r>
              <w:rPr>
                <w:rFonts w:ascii="宋体" w:hAnsi="宋体" w:eastAsia="宋体"/>
                <w:sz w:val="16"/>
              </w:rPr>
              <w:t>100</w:t>
            </w:r>
          </w:p>
        </w:tc>
        <w:tc>
          <w:tcPr>
            <w:tcW w:w="488" w:type="pct"/>
            <w:tcBorders>
              <w:top w:val="single" w:color="auto" w:sz="10" w:space="0"/>
              <w:left w:val="single" w:color="auto" w:sz="10" w:space="0"/>
              <w:bottom w:val="single" w:color="auto" w:sz="10" w:space="0"/>
              <w:right w:val="single" w:color="auto" w:sz="10" w:space="0"/>
              <w:insideV w:val="single" w:sz="10" w:space="0"/>
            </w:tcBorders>
            <w:vAlign w:val="center"/>
          </w:tcPr>
          <w:p w14:paraId="7AB58674">
            <w:pPr>
              <w:snapToGrid w:val="0"/>
              <w:jc w:val="center"/>
            </w:pPr>
            <w:r>
              <w:rPr>
                <w:rFonts w:ascii="宋体" w:hAnsi="宋体" w:eastAsia="宋体"/>
                <w:sz w:val="16"/>
              </w:rPr>
              <w:t>100分</w:t>
            </w:r>
          </w:p>
        </w:tc>
        <w:tc>
          <w:tcPr>
            <w:tcW w:w="701" w:type="pct"/>
            <w:tcBorders>
              <w:top w:val="single" w:color="auto" w:sz="10" w:space="0"/>
              <w:left w:val="single" w:color="auto" w:sz="10" w:space="0"/>
              <w:bottom w:val="single" w:color="auto" w:sz="10" w:space="0"/>
              <w:right w:val="single" w:color="auto" w:sz="10" w:space="0"/>
              <w:insideV w:val="single" w:sz="10" w:space="0"/>
            </w:tcBorders>
          </w:tcPr>
          <w:p w14:paraId="6D78EFF8">
            <w:pPr>
              <w:snapToGrid w:val="0"/>
            </w:pPr>
          </w:p>
        </w:tc>
      </w:tr>
    </w:tbl>
    <w:p w14:paraId="7E0DFDB5">
      <w:r>
        <w:br w:type="page"/>
      </w:r>
    </w:p>
    <w:p w14:paraId="073EF4B2">
      <w:pPr>
        <w:spacing w:line="640" w:lineRule="exact"/>
        <w:ind w:firstLine="640"/>
        <w:jc w:val="both"/>
        <w:outlineLvl w:val="2"/>
      </w:pPr>
      <w:r>
        <w:rPr>
          <w:rFonts w:ascii="黑体" w:hAnsi="黑体" w:eastAsia="黑体"/>
          <w:sz w:val="32"/>
        </w:rPr>
        <w:t>十二、其他需说明的事项</w:t>
      </w:r>
    </w:p>
    <w:p w14:paraId="506278BB">
      <w:pPr>
        <w:spacing w:line="580" w:lineRule="exact"/>
        <w:ind w:firstLine="640"/>
        <w:jc w:val="both"/>
      </w:pPr>
      <w:r>
        <w:rPr>
          <w:rFonts w:ascii="仿宋_GB2312" w:hAnsi="仿宋_GB2312" w:eastAsia="仿宋_GB2312"/>
          <w:b w:val="0"/>
          <w:sz w:val="32"/>
        </w:rPr>
        <w:t>本单位无其他需说明的事项。</w:t>
      </w:r>
    </w:p>
    <w:p w14:paraId="593E1E59">
      <w:r>
        <w:br w:type="page"/>
      </w:r>
    </w:p>
    <w:p w14:paraId="4C705B98">
      <w:pPr>
        <w:spacing w:line="240" w:lineRule="auto"/>
        <w:jc w:val="center"/>
        <w:outlineLvl w:val="1"/>
      </w:pPr>
      <w:r>
        <w:rPr>
          <w:rFonts w:ascii="黑体" w:hAnsi="黑体" w:eastAsia="黑体"/>
          <w:sz w:val="32"/>
        </w:rPr>
        <w:t>第三部分 专业名词解释</w:t>
      </w:r>
    </w:p>
    <w:p w14:paraId="0571FC7C">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7D13AC99">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63FE9258">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322551D8">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3C88BE1F">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4C1BF014">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49DF2148">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067BE3AF">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13341A79">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1304B7C">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83276FA">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26F70F6">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E2A8E57">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8E22CB4">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75442BFE">
      <w:r>
        <w:br w:type="page"/>
      </w:r>
    </w:p>
    <w:p w14:paraId="4942BADD">
      <w:pPr>
        <w:spacing w:line="240" w:lineRule="auto"/>
        <w:jc w:val="center"/>
        <w:outlineLvl w:val="1"/>
      </w:pPr>
      <w:r>
        <w:rPr>
          <w:rFonts w:ascii="黑体" w:hAnsi="黑体" w:eastAsia="黑体"/>
          <w:sz w:val="32"/>
        </w:rPr>
        <w:t>第四部分 部门决算报表（见附表）</w:t>
      </w:r>
    </w:p>
    <w:p w14:paraId="31E9E5E5">
      <w:pPr>
        <w:spacing w:line="240" w:lineRule="auto"/>
        <w:ind w:firstLine="640"/>
        <w:jc w:val="both"/>
      </w:pPr>
      <w:r>
        <w:rPr>
          <w:rFonts w:ascii="仿宋_GB2312" w:hAnsi="仿宋_GB2312" w:eastAsia="仿宋_GB2312"/>
          <w:b w:val="0"/>
          <w:sz w:val="32"/>
        </w:rPr>
        <w:t>一、《收入支出决算总表》</w:t>
      </w:r>
    </w:p>
    <w:p w14:paraId="221F08CF">
      <w:pPr>
        <w:spacing w:line="240" w:lineRule="auto"/>
        <w:ind w:firstLine="640"/>
        <w:jc w:val="both"/>
      </w:pPr>
      <w:r>
        <w:rPr>
          <w:rFonts w:ascii="仿宋_GB2312" w:hAnsi="仿宋_GB2312" w:eastAsia="仿宋_GB2312"/>
          <w:b w:val="0"/>
          <w:sz w:val="32"/>
        </w:rPr>
        <w:t>二、《收入决算表》</w:t>
      </w:r>
    </w:p>
    <w:p w14:paraId="0AD3AD7C">
      <w:pPr>
        <w:spacing w:line="240" w:lineRule="auto"/>
        <w:ind w:firstLine="640"/>
        <w:jc w:val="both"/>
      </w:pPr>
      <w:r>
        <w:rPr>
          <w:rFonts w:ascii="仿宋_GB2312" w:hAnsi="仿宋_GB2312" w:eastAsia="仿宋_GB2312"/>
          <w:b w:val="0"/>
          <w:sz w:val="32"/>
        </w:rPr>
        <w:t>三、《支出决算表》</w:t>
      </w:r>
    </w:p>
    <w:p w14:paraId="1154C669">
      <w:pPr>
        <w:spacing w:line="240" w:lineRule="auto"/>
        <w:ind w:firstLine="640"/>
        <w:jc w:val="both"/>
      </w:pPr>
      <w:r>
        <w:rPr>
          <w:rFonts w:ascii="仿宋_GB2312" w:hAnsi="仿宋_GB2312" w:eastAsia="仿宋_GB2312"/>
          <w:b w:val="0"/>
          <w:sz w:val="32"/>
        </w:rPr>
        <w:t>四、《财政拨款收入支出决算总表》</w:t>
      </w:r>
    </w:p>
    <w:p w14:paraId="6B9049C0">
      <w:pPr>
        <w:spacing w:line="240" w:lineRule="auto"/>
        <w:ind w:firstLine="640"/>
        <w:jc w:val="both"/>
      </w:pPr>
      <w:r>
        <w:rPr>
          <w:rFonts w:ascii="仿宋_GB2312" w:hAnsi="仿宋_GB2312" w:eastAsia="仿宋_GB2312"/>
          <w:b w:val="0"/>
          <w:sz w:val="32"/>
        </w:rPr>
        <w:t>五、《一般公共预算财政拨款支出决算表》</w:t>
      </w:r>
    </w:p>
    <w:p w14:paraId="1C414412">
      <w:pPr>
        <w:spacing w:line="240" w:lineRule="auto"/>
        <w:ind w:firstLine="640"/>
        <w:jc w:val="both"/>
      </w:pPr>
      <w:r>
        <w:rPr>
          <w:rFonts w:ascii="仿宋_GB2312" w:hAnsi="仿宋_GB2312" w:eastAsia="仿宋_GB2312"/>
          <w:b w:val="0"/>
          <w:sz w:val="32"/>
        </w:rPr>
        <w:t>六、《一般公共预算财政拨款基本支出决算表》</w:t>
      </w:r>
    </w:p>
    <w:p w14:paraId="6797F410">
      <w:pPr>
        <w:spacing w:line="240" w:lineRule="auto"/>
        <w:ind w:firstLine="640"/>
        <w:jc w:val="both"/>
      </w:pPr>
      <w:r>
        <w:rPr>
          <w:rFonts w:ascii="仿宋_GB2312" w:hAnsi="仿宋_GB2312" w:eastAsia="仿宋_GB2312"/>
          <w:b w:val="0"/>
          <w:sz w:val="32"/>
        </w:rPr>
        <w:t>七、《政府性基金预算财政拨款收入支出决算表》</w:t>
      </w:r>
    </w:p>
    <w:p w14:paraId="7C983EE3">
      <w:pPr>
        <w:spacing w:line="240" w:lineRule="auto"/>
        <w:ind w:firstLine="640"/>
        <w:jc w:val="both"/>
      </w:pPr>
      <w:r>
        <w:rPr>
          <w:rFonts w:ascii="仿宋_GB2312" w:hAnsi="仿宋_GB2312" w:eastAsia="仿宋_GB2312"/>
          <w:b w:val="0"/>
          <w:sz w:val="32"/>
        </w:rPr>
        <w:t>八、《国有资本经营预算财政拨款收入支出决算表》</w:t>
      </w:r>
    </w:p>
    <w:p w14:paraId="3C657E91">
      <w:pPr>
        <w:spacing w:line="240" w:lineRule="auto"/>
        <w:ind w:firstLine="640"/>
        <w:jc w:val="both"/>
      </w:pPr>
      <w:r>
        <w:rPr>
          <w:rFonts w:ascii="仿宋_GB2312" w:hAnsi="仿宋_GB2312" w:eastAsia="仿宋_GB2312"/>
          <w:b w:val="0"/>
          <w:sz w:val="32"/>
        </w:rPr>
        <w:t>九、《财政拨款“三公”经费支出决算表》</w:t>
      </w:r>
    </w:p>
    <w:p w14:paraId="03F781FC">
      <w:pPr>
        <w:spacing w:line="240" w:lineRule="auto"/>
        <w:ind w:firstLine="640"/>
        <w:jc w:val="both"/>
      </w:pPr>
    </w:p>
    <w:p w14:paraId="59C75EAB">
      <w:pPr>
        <w:spacing w:line="240" w:lineRule="auto"/>
        <w:ind w:firstLine="640"/>
        <w:jc w:val="both"/>
      </w:pPr>
    </w:p>
    <w:p w14:paraId="63AA2F56">
      <w:pPr>
        <w:spacing w:line="240" w:lineRule="auto"/>
        <w:ind w:firstLine="640"/>
        <w:jc w:val="both"/>
      </w:pPr>
    </w:p>
    <w:p w14:paraId="15057784">
      <w:pPr>
        <w:spacing w:line="240" w:lineRule="auto"/>
        <w:ind w:firstLine="640"/>
        <w:jc w:val="both"/>
      </w:pPr>
    </w:p>
    <w:p w14:paraId="2B2151BB">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D3DF25-78D9-4232-9579-B6F8E916CA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DE97DB75-B5F0-46EA-84A1-A15FF233F234}"/>
  </w:font>
  <w:font w:name="仿宋_GB2312">
    <w:panose1 w:val="02010609030101010101"/>
    <w:charset w:val="86"/>
    <w:family w:val="modern"/>
    <w:pitch w:val="default"/>
    <w:sig w:usb0="00000001" w:usb1="080E0000" w:usb2="00000000" w:usb3="00000000" w:csb0="00040000" w:csb1="00000000"/>
    <w:embedRegular r:id="rId3" w:fontKey="{C7E61DB9-C0C6-4C84-81D2-0C34C659F674}"/>
  </w:font>
  <w:font w:name="楷体_GB2312">
    <w:panose1 w:val="02010609030101010101"/>
    <w:charset w:val="86"/>
    <w:family w:val="auto"/>
    <w:pitch w:val="default"/>
    <w:sig w:usb0="00000001" w:usb1="080E0000" w:usb2="00000000" w:usb3="00000000" w:csb0="00040000" w:csb1="00000000"/>
    <w:embedRegular r:id="rId4" w:fontKey="{7552D494-D552-46E3-959C-EE2FE0A052D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952507"/>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EEC49C5"/>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2249</Words>
  <Characters>2427</Characters>
  <Lines>0</Lines>
  <Paragraphs>0</Paragraphs>
  <TotalTime>106</TotalTime>
  <ScaleCrop>false</ScaleCrop>
  <LinksUpToDate>false</LinksUpToDate>
  <CharactersWithSpaces>2435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2025-09-04T09:23:35Z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