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中共和田县委员会党校2024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(一)加强马克思主义基本理论研究，重点学习研究宣传习近平新时代中国特色社会主义思想。</w:t>
      </w:r>
    </w:p>
    <w:p>
      <w:pPr>
        <w:spacing w:line="580" w:lineRule="exact"/>
        <w:ind w:firstLine="640"/>
        <w:jc w:val="both"/>
      </w:pPr>
      <w:r>
        <w:rPr>
          <w:rFonts w:ascii="仿宋_GB2312" w:hAnsi="仿宋_GB2312" w:eastAsia="仿宋_GB2312"/>
          <w:sz w:val="32"/>
        </w:rPr>
        <w:t>(二)根据县委要求，制定党校(行政学校)工作政策以及干部培训计划。</w:t>
      </w:r>
    </w:p>
    <w:p>
      <w:pPr>
        <w:spacing w:line="580" w:lineRule="exact"/>
        <w:ind w:firstLine="640"/>
        <w:jc w:val="both"/>
      </w:pPr>
      <w:r>
        <w:rPr>
          <w:rFonts w:ascii="仿宋_GB2312" w:hAnsi="仿宋_GB2312" w:eastAsia="仿宋_GB2312"/>
          <w:sz w:val="32"/>
        </w:rPr>
        <w:t>(三)围绕社会稳定和长治久安总目标、乡村振兴、经济社会发展和党的建设等开设专题培训。</w:t>
      </w:r>
    </w:p>
    <w:p>
      <w:pPr>
        <w:spacing w:line="580" w:lineRule="exact"/>
        <w:ind w:firstLine="640"/>
        <w:jc w:val="both"/>
      </w:pPr>
      <w:r>
        <w:rPr>
          <w:rFonts w:ascii="仿宋_GB2312" w:hAnsi="仿宋_GB2312" w:eastAsia="仿宋_GB2312"/>
          <w:sz w:val="32"/>
        </w:rPr>
        <w:t>(四)培训轮训全县乡科级党员领导干部、基层党员干部、村级干部、后备干部和入党积极分子，培养理论干部。</w:t>
      </w:r>
    </w:p>
    <w:p>
      <w:pPr>
        <w:spacing w:line="580" w:lineRule="exact"/>
        <w:ind w:firstLine="640"/>
        <w:jc w:val="both"/>
      </w:pPr>
      <w:r>
        <w:rPr>
          <w:rFonts w:ascii="仿宋_GB2312" w:hAnsi="仿宋_GB2312" w:eastAsia="仿宋_GB2312"/>
          <w:sz w:val="32"/>
        </w:rPr>
        <w:t>(五)承担培训公务员、培养公共管理人员和政策研究人员、开展社会科学研究。</w:t>
      </w:r>
    </w:p>
    <w:p>
      <w:pPr>
        <w:spacing w:line="580" w:lineRule="exact"/>
        <w:ind w:firstLine="640"/>
        <w:jc w:val="both"/>
      </w:pPr>
      <w:r>
        <w:rPr>
          <w:rFonts w:ascii="仿宋_GB2312" w:hAnsi="仿宋_GB2312" w:eastAsia="仿宋_GB2312"/>
          <w:sz w:val="32"/>
        </w:rPr>
        <w:t>(六)开展同校外教育、研究等机构和组织的合作与交流。</w:t>
      </w:r>
    </w:p>
    <w:p>
      <w:pPr>
        <w:spacing w:line="580" w:lineRule="exact"/>
        <w:ind w:firstLine="640"/>
        <w:jc w:val="both"/>
      </w:pPr>
      <w:r>
        <w:rPr>
          <w:rFonts w:ascii="仿宋_GB2312" w:hAnsi="仿宋_GB2312" w:eastAsia="仿宋_GB2312"/>
          <w:sz w:val="32"/>
        </w:rPr>
        <w:t>(七)按照管理科学化和服务规范化的要求，加强行政管理和后勤保障、服务保障等。</w:t>
      </w:r>
    </w:p>
    <w:p>
      <w:pPr>
        <w:spacing w:line="580" w:lineRule="exact"/>
        <w:ind w:firstLine="640"/>
        <w:jc w:val="both"/>
      </w:pPr>
      <w:r>
        <w:rPr>
          <w:rFonts w:ascii="仿宋_GB2312" w:hAnsi="仿宋_GB2312" w:eastAsia="仿宋_GB2312"/>
          <w:sz w:val="32"/>
        </w:rPr>
        <w:t>(八)承办县委及上级业务主管部门交办的其他工作事项。</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中共和田县委员会党校2024年度，实有人数16人，其中：在职人员15人，增加4人；离休人员0人，增加0人；退休人员1人,增加0人。</w:t>
      </w:r>
    </w:p>
    <w:p>
      <w:pPr>
        <w:spacing w:line="580" w:lineRule="exact"/>
        <w:ind w:firstLine="640"/>
        <w:jc w:val="both"/>
      </w:pPr>
      <w:r>
        <w:rPr>
          <w:rFonts w:ascii="仿宋_GB2312" w:hAnsi="仿宋_GB2312" w:eastAsia="仿宋_GB2312"/>
          <w:sz w:val="32"/>
        </w:rPr>
        <w:t>中共和田县委员会党校无下属预算单位，下设5个科室，分别是：办公室、财务室、教务室、科研室、学员管理科。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2024年度收入总计437.01万元，</w:t>
      </w:r>
      <w:r>
        <w:rPr>
          <w:rFonts w:ascii="仿宋_GB2312" w:hAnsi="仿宋_GB2312" w:eastAsia="仿宋_GB2312"/>
          <w:b w:val="0"/>
          <w:sz w:val="32"/>
        </w:rPr>
        <w:t>其中：本年收入合计310.59万元，使用非财政拨款结余（含专用结余）0.00万元，年初结转和结余126.42万元。</w:t>
      </w:r>
    </w:p>
    <w:p>
      <w:pPr>
        <w:spacing w:line="580" w:lineRule="exact"/>
        <w:ind w:firstLine="640"/>
        <w:jc w:val="both"/>
      </w:pPr>
      <w:r>
        <w:rPr>
          <w:rFonts w:ascii="仿宋_GB2312" w:hAnsi="仿宋_GB2312" w:eastAsia="仿宋_GB2312"/>
          <w:b/>
          <w:sz w:val="32"/>
        </w:rPr>
        <w:t>2024年度支出总计437.01万元，</w:t>
      </w:r>
      <w:r>
        <w:rPr>
          <w:rFonts w:ascii="仿宋_GB2312" w:hAnsi="仿宋_GB2312" w:eastAsia="仿宋_GB2312"/>
          <w:b w:val="0"/>
          <w:sz w:val="32"/>
        </w:rPr>
        <w:t>其中：本年支出合计423.92万元，结余分配0.00万元，年末结转和结余13.09万元。</w:t>
      </w:r>
    </w:p>
    <w:p>
      <w:pPr>
        <w:spacing w:line="580" w:lineRule="exact"/>
        <w:ind w:firstLine="640"/>
        <w:jc w:val="both"/>
      </w:pPr>
      <w:r>
        <w:rPr>
          <w:rFonts w:ascii="仿宋_GB2312" w:hAnsi="仿宋_GB2312" w:eastAsia="仿宋_GB2312"/>
          <w:b w:val="0"/>
          <w:sz w:val="32"/>
        </w:rPr>
        <w:t>收入支出总体与上年相比，增加141.99万元，增长48.13%，主要原因是：本年在职人员增加，在职人员工资调增、社保、公积金基数调增，人员经费增加；增加为民办实事工作经费，导致经费较上年增加。</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本年收入310.59万元，</w:t>
      </w:r>
      <w:r>
        <w:rPr>
          <w:rFonts w:ascii="仿宋_GB2312" w:hAnsi="仿宋_GB2312" w:eastAsia="仿宋_GB2312"/>
          <w:b w:val="0"/>
          <w:sz w:val="32"/>
        </w:rPr>
        <w:t>其中：财政拨款收入310.59万元，占100.00%；上级补助收入0.00万元，占0.00%；事业收入0.00万元，占0.00%；经营收入0.00万元，占0.00%；附属单位上缴收入0.00万元，占0.00%；其他收入0.00万元，占0.00%。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本年支出423.92万元，</w:t>
      </w:r>
      <w:r>
        <w:rPr>
          <w:rFonts w:ascii="仿宋_GB2312" w:hAnsi="仿宋_GB2312" w:eastAsia="仿宋_GB2312"/>
          <w:b w:val="0"/>
          <w:sz w:val="32"/>
        </w:rPr>
        <w:t>其中：基本支出416.93万元，占98.35%；项目支出7.00万元，占1.65%；上缴上级支出0.00万元，占0.00%；经营支出0.00万元，占0.00%；对附属单位补助支出0.00万元，占0.00%。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2024年度财政拨款收入总计310.59万元，</w:t>
      </w:r>
      <w:r>
        <w:rPr>
          <w:rFonts w:ascii="仿宋_GB2312" w:hAnsi="仿宋_GB2312" w:eastAsia="仿宋_GB2312"/>
          <w:b w:val="0"/>
          <w:sz w:val="32"/>
        </w:rPr>
        <w:t>其中：年初财政拨款结转和结余0.00万元，本年财政拨款收入310.59万元。</w:t>
      </w:r>
      <w:r>
        <w:rPr>
          <w:rFonts w:ascii="仿宋_GB2312" w:hAnsi="仿宋_GB2312" w:eastAsia="仿宋_GB2312"/>
          <w:b/>
          <w:sz w:val="32"/>
        </w:rPr>
        <w:t>财政拨款支出总计310.59万元，</w:t>
      </w:r>
      <w:r>
        <w:rPr>
          <w:rFonts w:ascii="仿宋_GB2312" w:hAnsi="仿宋_GB2312" w:eastAsia="仿宋_GB2312"/>
          <w:b w:val="0"/>
          <w:sz w:val="32"/>
        </w:rPr>
        <w:t>其中：年末财政拨款结转和结余0.00万元，本年财政拨款支出310.59万元。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增加151.40万元，增长95.11%，主要原因是：本年在职人员增加，在职人员工资调增、社保、公积金基数调增，人员经费增加；增加为民办实事工作经费，导致经费较上年增加。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年初预算数275.08万元，决算数310.59万元，预决算差异率12.91%，主要原因是：本年在职人员增加，年中追加人员经费及人员工资、社保、公积金基数调增部分资金，导致预决算存在差异。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2024年度一般公共预算财政拨款支出310.59万元，</w:t>
      </w:r>
      <w:r>
        <w:rPr>
          <w:rFonts w:ascii="仿宋_GB2312" w:hAnsi="仿宋_GB2312" w:eastAsia="仿宋_GB2312"/>
          <w:b w:val="0"/>
          <w:sz w:val="32"/>
        </w:rPr>
        <w:t>占本年支出合计的73.27%。</w:t>
      </w:r>
      <w:r>
        <w:rPr>
          <w:rFonts w:ascii="仿宋_GB2312" w:hAnsi="仿宋_GB2312" w:eastAsia="仿宋_GB2312"/>
          <w:b/>
          <w:sz w:val="32"/>
        </w:rPr>
        <w:t>与上年相比，</w:t>
      </w:r>
      <w:r>
        <w:rPr>
          <w:rFonts w:ascii="仿宋_GB2312" w:hAnsi="仿宋_GB2312" w:eastAsia="仿宋_GB2312"/>
          <w:b w:val="0"/>
          <w:sz w:val="32"/>
        </w:rPr>
        <w:t>增加151.40万元，增长95.11%，主要原因是：本年在职人员增加，在职人员工资调增、社保、公积金基数调增，人员经费增加；增加为民办实事工作经费，导致经费较上年增加。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年初预算数275.08万元，决算数310.59万元，预决算差异率12.91%，主要原因是：本年在职人员增加，年中追加人员经费及人员工资、社保、公积金基数调增部分资金，导致预决算存在差异。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1.教育支出(类)247.96万元,占79.84%。</w:t>
      </w:r>
    </w:p>
    <w:p>
      <w:pPr>
        <w:spacing w:line="580" w:lineRule="exact"/>
        <w:ind w:firstLine="640"/>
        <w:jc w:val="both"/>
      </w:pPr>
      <w:r>
        <w:rPr>
          <w:rFonts w:ascii="仿宋_GB2312" w:hAnsi="仿宋_GB2312" w:eastAsia="仿宋_GB2312"/>
          <w:b w:val="0"/>
          <w:sz w:val="32"/>
        </w:rPr>
        <w:t>2.社会保障和就业支出(类)31.56万元,占10.16%。</w:t>
      </w:r>
    </w:p>
    <w:p>
      <w:pPr>
        <w:spacing w:line="580" w:lineRule="exact"/>
        <w:ind w:firstLine="640"/>
        <w:jc w:val="both"/>
      </w:pPr>
      <w:r>
        <w:rPr>
          <w:rFonts w:ascii="仿宋_GB2312" w:hAnsi="仿宋_GB2312" w:eastAsia="仿宋_GB2312"/>
          <w:b w:val="0"/>
          <w:sz w:val="32"/>
        </w:rPr>
        <w:t>3.住房保障支出(类)24.08万元,占7.75%。</w:t>
      </w:r>
    </w:p>
    <w:p>
      <w:pPr>
        <w:spacing w:line="580" w:lineRule="exact"/>
        <w:ind w:firstLine="640"/>
        <w:jc w:val="both"/>
      </w:pPr>
      <w:r>
        <w:rPr>
          <w:rFonts w:ascii="仿宋_GB2312" w:hAnsi="仿宋_GB2312" w:eastAsia="仿宋_GB2312"/>
          <w:b w:val="0"/>
          <w:sz w:val="32"/>
        </w:rPr>
        <w:t>4.其他支出(类)7.00万元,占2.25%。</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1.教育支出(类)进修及培训(款)干部教育(项):支出决算数为247.96万元，比上年决算增加88.77万元，增长55.76%,主要原因是：本年和田县基层党员干部培训费支出增加，导致经费较上年增加。</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31.56万元，比上年决算增加31.56万元，增长100.00%,主要原因是：本年功能科目调整，养老保险缴费上年度在主科目列支，本年单独列支，导致经费较上年增加。</w:t>
      </w:r>
    </w:p>
    <w:p>
      <w:pPr>
        <w:spacing w:line="580" w:lineRule="exact"/>
        <w:ind w:firstLine="640"/>
        <w:jc w:val="both"/>
      </w:pPr>
      <w:r>
        <w:rPr>
          <w:rFonts w:ascii="仿宋_GB2312" w:hAnsi="仿宋_GB2312" w:eastAsia="仿宋_GB2312"/>
          <w:b w:val="0"/>
          <w:sz w:val="32"/>
        </w:rPr>
        <w:t>3.住房保障支出(类)住房改革支出(款)住房公积金(项):支出决算数为24.08万元，比上年决算增加24.08万元，增长100.00%,主要原因是：本年功能科目调整，住房公积金上年度在主科目列支，本年单独列支，导致经费较上年增加。</w:t>
      </w:r>
    </w:p>
    <w:p>
      <w:pPr>
        <w:spacing w:line="580" w:lineRule="exact"/>
        <w:ind w:firstLine="640"/>
        <w:jc w:val="both"/>
      </w:pPr>
      <w:r>
        <w:rPr>
          <w:rFonts w:ascii="仿宋_GB2312" w:hAnsi="仿宋_GB2312" w:eastAsia="仿宋_GB2312"/>
          <w:b w:val="0"/>
          <w:sz w:val="32"/>
        </w:rPr>
        <w:t>4.其他支出(类)其他支出(款)其他支出(项):支出决算数为7.00万元，比上年决算增加7.00万元，增长100.00%,主要原因是：本年增加为民办实事工作经费，导致经费较上年增加。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2024年度一般公共预算财政拨款基本支出303.59万元，其中：</w:t>
      </w:r>
      <w:r>
        <w:rPr>
          <w:rFonts w:ascii="仿宋_GB2312" w:hAnsi="仿宋_GB2312" w:eastAsia="仿宋_GB2312"/>
          <w:b/>
          <w:sz w:val="32"/>
        </w:rPr>
        <w:t>人员经费301.90万元，</w:t>
      </w:r>
      <w:r>
        <w:rPr>
          <w:rFonts w:ascii="仿宋_GB2312" w:hAnsi="仿宋_GB2312" w:eastAsia="仿宋_GB2312"/>
          <w:b w:val="0"/>
          <w:sz w:val="32"/>
        </w:rPr>
        <w:t>包括：基本工资、津贴补贴、奖金、绩效工资、机关事业单位基本养老保险缴费、职工基本医疗保险缴费、其他社会保障缴费、住房公积金、退休费。</w:t>
      </w:r>
    </w:p>
    <w:p>
      <w:pPr>
        <w:spacing w:line="580" w:lineRule="exact"/>
        <w:ind w:firstLine="640"/>
        <w:jc w:val="both"/>
      </w:pPr>
      <w:r>
        <w:rPr>
          <w:rFonts w:ascii="仿宋_GB2312" w:hAnsi="仿宋_GB2312" w:eastAsia="仿宋_GB2312"/>
          <w:b/>
          <w:sz w:val="32"/>
        </w:rPr>
        <w:t>公用经费1.70万元，</w:t>
      </w:r>
      <w:r>
        <w:rPr>
          <w:rFonts w:ascii="仿宋_GB2312" w:hAnsi="仿宋_GB2312" w:eastAsia="仿宋_GB2312"/>
          <w:b w:val="0"/>
          <w:sz w:val="32"/>
        </w:rPr>
        <w:t>包括：办公费、印刷费、水费、邮电费、差旅费。</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2024年度中共和田县委员会党校（事业单位）公用经费支出1.70万元，比上年增加1.70万元，增长100.00%，主要原因是：本年在职人员增加，办公费用增加，导致公用经费较上年增加。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423.93万元，实际执行总额423.93万元；预算绩效评价项目1个，全年预算数7.00万元，全年执行数7.00万元。预算绩效管理取得的成效：（一）聚焦“党校姓党”，把党的政治建设放在首位。一是牢牢把握党校姓党这个根本原则，始终将政治建设放在支部建设首位，确保一切教学活动、一切科研活动、一切办学活动都坚持党性原则、遵循党的政治路线，严守党的政治纪律和政治规矩。二是建立“集中+自学”学习机制，今年，组织党员集中学习38次，引导支部党员全面、系统、深入学习习近平新时代中国特色社会主义思想，党纪党规，把党性修养和问题风险意识贯穿教育教学全过程、各方面，不断构筑党校教育新高地。三是强化政治机关意识，把践行“两个维护”作为首要任务，不断提升教职工的政治理论素养。充分利用本地特色资源，组织学员走进沙海老兵纪念馆、民族团结展馆、和田地区博物馆，引导党员干部强化政治忠诚、筑牢理想信念、树牢维稳观念，充分发挥党建在推进党校事业发展中的引领作用；（二）聚焦主责主业，教育培训质量得到提升。一是充分发挥党校培训干部主渠道的职能作用，切实抓好全县干部的理论和业务技能培训工作。2024年已举办中青班、乡科级领导干部培训班、基层党务工作者培训班</w:t>
      </w:r>
      <w:r>
        <w:rPr>
          <w:rFonts w:hint="eastAsia" w:ascii="仿宋_GB2312" w:hAnsi="仿宋_GB2312" w:eastAsia="仿宋_GB2312"/>
          <w:b w:val="0"/>
          <w:sz w:val="32"/>
          <w:lang w:eastAsia="zh-CN"/>
        </w:rPr>
        <w:t>、</w:t>
      </w:r>
      <w:r>
        <w:rPr>
          <w:rFonts w:ascii="仿宋_GB2312" w:hAnsi="仿宋_GB2312" w:eastAsia="仿宋_GB2312"/>
          <w:b w:val="0"/>
          <w:sz w:val="32"/>
        </w:rPr>
        <w:t>已完成集中轮训党员干部16个班25期3150人。视频培训农牧民党员、基层党员4884人次。二是突出理论教育和党性教育的主课比重，实现理论教育、党性教育和能力培训“三育并举”，在选题授课上，把</w:t>
      </w:r>
      <w:r>
        <w:rPr>
          <w:rFonts w:hint="eastAsia" w:ascii="仿宋_GB2312" w:hAnsi="仿宋_GB2312" w:eastAsia="仿宋_GB2312"/>
          <w:b w:val="0"/>
          <w:sz w:val="32"/>
          <w:lang w:eastAsia="zh-CN"/>
        </w:rPr>
        <w:t>习近平新时代中国特色社会主义思想和党的二十大精神</w:t>
      </w:r>
      <w:r>
        <w:rPr>
          <w:rFonts w:ascii="仿宋_GB2312" w:hAnsi="仿宋_GB2312" w:eastAsia="仿宋_GB2312"/>
          <w:b w:val="0"/>
          <w:sz w:val="32"/>
        </w:rPr>
        <w:t>、党的二十届三中全会精神、习近平总书记重要讲话和重要批示精神作为学习内容的重中之重，常态化开展理想信念教育、党的宗旨教育、党史国史教育、革命传统教育、反腐倡廉教育、党规</w:t>
      </w:r>
      <w:r>
        <w:rPr>
          <w:rFonts w:hint="eastAsia" w:ascii="仿宋_GB2312" w:hAnsi="仿宋_GB2312" w:eastAsia="仿宋_GB2312"/>
          <w:b w:val="0"/>
          <w:sz w:val="32"/>
          <w:lang w:eastAsia="zh-CN"/>
        </w:rPr>
        <w:t>党纪主题教育</w:t>
      </w:r>
      <w:r>
        <w:rPr>
          <w:rFonts w:ascii="仿宋_GB2312" w:hAnsi="仿宋_GB2312" w:eastAsia="仿宋_GB2312"/>
          <w:b w:val="0"/>
          <w:sz w:val="32"/>
        </w:rPr>
        <w:t>等</w:t>
      </w:r>
      <w:r>
        <w:rPr>
          <w:rFonts w:hint="eastAsia" w:ascii="仿宋_GB2312" w:hAnsi="仿宋_GB2312" w:eastAsia="仿宋_GB2312"/>
          <w:b w:val="0"/>
          <w:sz w:val="32"/>
          <w:lang w:eastAsia="zh-CN"/>
        </w:rPr>
        <w:t>。</w:t>
      </w:r>
      <w:r>
        <w:rPr>
          <w:rFonts w:ascii="仿宋_GB2312" w:hAnsi="仿宋_GB2312" w:eastAsia="仿宋_GB2312"/>
          <w:b w:val="0"/>
          <w:sz w:val="32"/>
        </w:rPr>
        <w:t>发现的问题及原因：1.预算编制管理水平仍有进一步提升的空间。部分业务人员绩效管理意识有待增强，未能全面深入认识理解绩效管理工作的意义。绩效管理经验不足，预算绩效管理工作有待进一步落实；2.绩效指标的明确性、可衡量性、相关性还需进一步提升，预算精细。下一步改进措施：（一）改进措施：1.继续加大绩效工作宣传力度，强化绩效理念。2.继续完善绩效指标，提高整体绩效目标质量。提升预算精细化管理水平。3.继续完善预算绩效管理相关工作制度，建立全过程预算绩效管理链条，有效贯彻落实全面实施绩效管理的精神。（二）建议：1.加强预算绩效目标管理工作。明确预算项目绩效目标编制要求，分类别建立科学合理、细化量化、可比可测预算绩效指标体系，突出结果导向，重点考核实绩；2.加强绩效业务学习及培训，提高业务人员绩效管理意识，进一步加强预算绩效管理工作，优化项目支出绩效指标体系，完善预算绩效管理制度，有效推动我单位下一年度预算绩效管理工作常态化、规范化；3.通过强化专业培训、学习考察、业务交流等措施，帮助和促进本单位现有人员提高绩效管理业务水平、实际工作能力。强化预算绩效执行工作，指定专人负责预算执行监督管理，进一步推动预算绩效管理工作。4.借助第三方专业机构力量，贯彻落实全面预算绩效管理工作，建立全过程预算绩效管理链条，将绩效各个环节紧密贯通。具体附整体支出绩效自评表，项目支出绩效自评表。</w:t>
      </w:r>
    </w:p>
    <w:p>
      <w:r>
        <w:br w:type="page"/>
      </w:r>
    </w:p>
    <w:tbl>
      <w:tblPr>
        <w:tblStyle w:val="9"/>
        <w:tblW w:w="8847" w:type="dxa"/>
        <w:tblInd w:w="0" w:type="dxa"/>
        <w:tblLayout w:type="fixed"/>
        <w:tblCellMar>
          <w:top w:w="0" w:type="dxa"/>
          <w:left w:w="108" w:type="dxa"/>
          <w:bottom w:w="0" w:type="dxa"/>
          <w:right w:w="108" w:type="dxa"/>
        </w:tblCellMar>
      </w:tblPr>
      <w:tblGrid>
        <w:gridCol w:w="983"/>
        <w:gridCol w:w="983"/>
        <w:gridCol w:w="983"/>
        <w:gridCol w:w="983"/>
        <w:gridCol w:w="983"/>
        <w:gridCol w:w="983"/>
        <w:gridCol w:w="983"/>
        <w:gridCol w:w="983"/>
        <w:gridCol w:w="983"/>
      </w:tblGrid>
      <w:tr>
        <w:tblPrEx>
          <w:tblLayout w:type="fixed"/>
          <w:tblCellMar>
            <w:top w:w="0" w:type="dxa"/>
            <w:left w:w="108" w:type="dxa"/>
            <w:bottom w:w="0" w:type="dxa"/>
            <w:right w:w="108" w:type="dxa"/>
          </w:tblCellMar>
        </w:tblPrEx>
        <w:tc>
          <w:tcPr>
            <w:tcW w:w="8847" w:type="dxa"/>
            <w:gridSpan w:val="9"/>
            <w:vAlign w:val="center"/>
          </w:tcPr>
          <w:p>
            <w:pPr>
              <w:jc w:val="center"/>
            </w:pPr>
            <w:r>
              <w:rPr>
                <w:rFonts w:ascii="宋体" w:hAnsi="宋体" w:eastAsia="宋体"/>
                <w:sz w:val="24"/>
              </w:rPr>
              <w:t>单位整体支出绩效自评表</w:t>
            </w:r>
          </w:p>
        </w:tc>
      </w:tr>
      <w:tr>
        <w:tblPrEx>
          <w:tblLayout w:type="fixed"/>
          <w:tblCellMar>
            <w:top w:w="0" w:type="dxa"/>
            <w:left w:w="108" w:type="dxa"/>
            <w:bottom w:w="0" w:type="dxa"/>
            <w:right w:w="108" w:type="dxa"/>
          </w:tblCellMar>
        </w:tblPrEx>
        <w:tc>
          <w:tcPr>
            <w:tcW w:w="8847" w:type="dxa"/>
            <w:gridSpan w:val="9"/>
            <w:vAlign w:val="center"/>
          </w:tcPr>
          <w:p>
            <w:pPr>
              <w:jc w:val="center"/>
            </w:pPr>
            <w:r>
              <w:rPr>
                <w:rFonts w:ascii="宋体" w:hAnsi="宋体" w:eastAsia="宋体"/>
                <w:sz w:val="24"/>
              </w:rPr>
              <w:t>（2024年度）</w:t>
            </w:r>
          </w:p>
        </w:tc>
      </w:tr>
      <w:tr>
        <w:tblPrEx>
          <w:tblLayout w:type="fixed"/>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中共和田县委员会党校</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得分</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268.08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416.93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416.93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275.08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423.93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423.93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实际完成情况</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pPr>
              <w:jc w:val="both"/>
            </w:pPr>
            <w:r>
              <w:rPr>
                <w:rFonts w:ascii="宋体" w:hAnsi="宋体" w:eastAsia="宋体"/>
                <w:sz w:val="16"/>
              </w:rPr>
              <w:t>目标1：完成在职14人、退休1人工资正常发放及五险一金正常缴纳，保障办公费、差旅费等支出，维持单位正常运转，切实提高行政运行能力。目标2：根据县委、县政府对党政干部队伍建设的要求，有计划地培训和轮训1.村（社区）党组织书记、村（居）委会主任及党建专干履职能力提升进修班。2.中青年干部培训班3.基层党员干部培训班4.铸牢中华民族共同体意识专题研讨班5.和田县推进文化润疆工程专题研讨班6.和田县县直机关党务工作者培训班7.和田县农牧民党员骨干培训班8.县人大代表专题培训班。9村社区团支部书记培训班10.和田县加强和创新社会治理专题研讨班。学习贯彻</w:t>
            </w:r>
            <w:r>
              <w:rPr>
                <w:rFonts w:hint="eastAsia" w:ascii="宋体" w:hAnsi="宋体" w:eastAsia="宋体"/>
                <w:sz w:val="16"/>
              </w:rPr>
              <w:t>习近平新时代中国特色社会主义思想</w:t>
            </w:r>
            <w:r>
              <w:rPr>
                <w:rFonts w:hint="eastAsia" w:ascii="宋体" w:hAnsi="宋体"/>
                <w:sz w:val="16"/>
                <w:lang w:eastAsia="zh-CN"/>
              </w:rPr>
              <w:t>习近平和习近平新时代中国特色社会主义思想</w:t>
            </w:r>
            <w:r>
              <w:rPr>
                <w:rFonts w:ascii="宋体" w:hAnsi="宋体" w:eastAsia="宋体"/>
                <w:sz w:val="16"/>
              </w:rPr>
              <w:t>、深入学习贯彻党的二十大精神，准确贯彻新时代党的治疆方略，开展理论研究、科研咨询。</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pPr>
              <w:jc w:val="both"/>
            </w:pPr>
            <w:r>
              <w:rPr>
                <w:rFonts w:ascii="宋体" w:hAnsi="宋体" w:eastAsia="宋体"/>
                <w:sz w:val="16"/>
              </w:rPr>
              <w:t>本年度我校完成了在职14人、退休1人工资正常发放及五险一金正常缴纳，保障办公费、差旅费等支出，维持单位正常运转，切实提高行政运行能力。根据县委、县政府对党政干部队伍建设的要求，有计划地培训和轮训1.村（社区）党组织书记、村（居）委会主任及党建专干履职能力提升进修班。2.中青年干部培训班3.基层党员干部培训班4.铸牢中华民族共同体意识专题研讨班5.和田县推进文化润疆工程专题研讨班6.和田县县直机关党务工作者培训班7.和田县农牧民党员骨干培训班8.县人大代表专题培训班。9村社区团支部书记培训班10.和田县加强和创新社会治理专题研讨班。学习贯彻</w:t>
            </w:r>
            <w:r>
              <w:rPr>
                <w:rFonts w:hint="eastAsia" w:ascii="宋体" w:hAnsi="宋体" w:eastAsia="宋体"/>
                <w:sz w:val="16"/>
              </w:rPr>
              <w:t>习近平新时代中国特色社会主义思想</w:t>
            </w:r>
            <w:bookmarkStart w:id="0" w:name="_GoBack"/>
            <w:bookmarkEnd w:id="0"/>
            <w:r>
              <w:rPr>
                <w:rFonts w:hint="eastAsia" w:ascii="宋体" w:hAnsi="宋体"/>
                <w:sz w:val="16"/>
                <w:lang w:eastAsia="zh-CN"/>
              </w:rPr>
              <w:t>习近平和习近平新时代中国特色社会主义思想</w:t>
            </w:r>
            <w:r>
              <w:rPr>
                <w:rFonts w:ascii="宋体" w:hAnsi="宋体" w:eastAsia="宋体"/>
                <w:sz w:val="16"/>
              </w:rPr>
              <w:t>、深入学习贯彻党的二十大精神，准确贯彻新时代党的治疆方略，开展理论研究、科研咨询。基本经费成本控制在268.08万元、项目经费成本控制在7万元，进修班培训7期，进行中青年、基层党员干部培训4期、专题研讨班3期、其他重要培训7期。</w:t>
            </w:r>
          </w:p>
        </w:tc>
      </w:tr>
      <w:tr>
        <w:tblPrEx>
          <w:tblLayout w:type="fixed"/>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得分</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成本指标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基本经费成本控制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&lt;=268.08万元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下达2024年部门预算数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268.08万元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项目经费成本控制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下达2024年部门预算数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进修班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&gt;=7期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2024年和田县党校培训方案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中青年、基层党员干部培训班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&gt;=3期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2024年和田县党校培训方案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4期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专题研讨班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&gt;=3期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2024年和田县委党校培训方案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3期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其他重要培训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&gt;=6期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2024年和田县委党校培训方案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15</w:t>
            </w:r>
          </w:p>
        </w:tc>
      </w:tr>
    </w:tbl>
    <w:p>
      <w:r>
        <w:br w:type="page"/>
      </w:r>
    </w:p>
    <w:tbl>
      <w:tblPr>
        <w:tblStyle w:val="9"/>
        <w:tblW w:w="8847" w:type="dxa"/>
        <w:tblInd w:w="0" w:type="dxa"/>
        <w:tblLayout w:type="fixed"/>
        <w:tblCellMar>
          <w:top w:w="0" w:type="dxa"/>
          <w:left w:w="108" w:type="dxa"/>
          <w:bottom w:w="0" w:type="dxa"/>
          <w:right w:w="108" w:type="dxa"/>
        </w:tblCellMar>
      </w:tblPr>
      <w:tblGrid>
        <w:gridCol w:w="983"/>
        <w:gridCol w:w="983"/>
        <w:gridCol w:w="983"/>
        <w:gridCol w:w="983"/>
        <w:gridCol w:w="983"/>
        <w:gridCol w:w="983"/>
        <w:gridCol w:w="983"/>
        <w:gridCol w:w="983"/>
        <w:gridCol w:w="983"/>
      </w:tblGrid>
      <w:tr>
        <w:tblPrEx>
          <w:tblLayout w:type="fixed"/>
          <w:tblCellMar>
            <w:top w:w="0" w:type="dxa"/>
            <w:left w:w="108" w:type="dxa"/>
            <w:bottom w:w="0" w:type="dxa"/>
            <w:right w:w="108" w:type="dxa"/>
          </w:tblCellMar>
        </w:tblPrEx>
        <w:tc>
          <w:tcPr>
            <w:tcW w:w="8847" w:type="dxa"/>
            <w:gridSpan w:val="9"/>
            <w:vAlign w:val="center"/>
          </w:tcPr>
          <w:p>
            <w:pPr>
              <w:jc w:val="center"/>
            </w:pPr>
            <w:r>
              <w:rPr>
                <w:rFonts w:ascii="宋体" w:hAnsi="宋体" w:eastAsia="宋体"/>
                <w:sz w:val="24"/>
              </w:rPr>
              <w:t>项目支出绩效自评表</w:t>
            </w:r>
          </w:p>
        </w:tc>
      </w:tr>
      <w:tr>
        <w:tblPrEx>
          <w:tblLayout w:type="fixed"/>
          <w:tblCellMar>
            <w:top w:w="0" w:type="dxa"/>
            <w:left w:w="108" w:type="dxa"/>
            <w:bottom w:w="0" w:type="dxa"/>
            <w:right w:w="108" w:type="dxa"/>
          </w:tblCellMar>
        </w:tblPrEx>
        <w:tc>
          <w:tcPr>
            <w:tcW w:w="8847" w:type="dxa"/>
            <w:gridSpan w:val="9"/>
            <w:vAlign w:val="center"/>
          </w:tcPr>
          <w:p>
            <w:pPr>
              <w:jc w:val="center"/>
            </w:pPr>
            <w:r>
              <w:rPr>
                <w:rFonts w:ascii="宋体" w:hAnsi="宋体" w:eastAsia="宋体"/>
                <w:sz w:val="24"/>
              </w:rPr>
              <w:t>(2024年度)</w:t>
            </w:r>
          </w:p>
        </w:tc>
      </w:tr>
      <w:tr>
        <w:tblPrEx>
          <w:tblLayout w:type="fixed"/>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和田县2024年驻村工作队为民办实事经费及第一书记经费</w:t>
            </w:r>
          </w:p>
        </w:tc>
      </w:tr>
      <w:tr>
        <w:tblPrEx>
          <w:tblLayout w:type="fixed"/>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中共和田县委员会党校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中共和田县委员会党校</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得分</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10.00分</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实际完成情况</w:t>
            </w: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pPr>
              <w:jc w:val="both"/>
            </w:pPr>
            <w:r>
              <w:rPr>
                <w:rFonts w:ascii="宋体" w:hAnsi="宋体" w:eastAsia="宋体"/>
                <w:sz w:val="16"/>
              </w:rPr>
              <w:t>目标1：本项目用于保障驻村工作队1个，工作人员5名，总资金7万元。</w:t>
            </w:r>
            <w:r>
              <w:rPr>
                <w:rFonts w:ascii="宋体" w:hAnsi="宋体" w:eastAsia="宋体"/>
                <w:sz w:val="16"/>
              </w:rPr>
              <w:br w:type="textWrapping"/>
            </w:r>
            <w:r>
              <w:rPr>
                <w:rFonts w:ascii="宋体" w:hAnsi="宋体" w:eastAsia="宋体"/>
                <w:sz w:val="16"/>
              </w:rPr>
              <w:t>目标2：项目的实施后解决驻村点群众生产生活中的实际困难，及时将党和政府的温暖关于各族群众的心坎上。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pPr>
              <w:jc w:val="both"/>
            </w:pPr>
            <w:r>
              <w:rPr>
                <w:rFonts w:ascii="宋体" w:hAnsi="宋体" w:eastAsia="宋体"/>
                <w:sz w:val="16"/>
              </w:rPr>
              <w:t>本项目截止至2024年12月31日，已完成保障工作队1个，工作人员5名，总资金7万元，实际完成69997.5元。在县委、县政府、镇党委的领导下，聚焦建设基层组织，推进强村富民、聚焦提升治理水平、聚焦为民办实事服务扎实开展驻村工作。 解决了驻村点群众生产生活中的实际困难，及时将党和政府的温暖送到各族群众的心坎上</w:t>
            </w:r>
          </w:p>
        </w:tc>
      </w:tr>
      <w:tr>
        <w:tblPrEx>
          <w:tblLayout w:type="fixed"/>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偏差原因分析及改进措施</w:t>
            </w:r>
          </w:p>
        </w:tc>
      </w:tr>
      <w:tr>
        <w:tblPrEx>
          <w:tblLayout w:type="fixed"/>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驻村工作队数量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保障工作队人员数量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工作队任务完成率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群众困难诉求满足率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村级组织工作经费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&lt;=1.25万元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第一书记工作经费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为民办实事经费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&lt;=2.50万元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访贫问苦支出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&lt;=1.25万元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持续为公提供公共服务能力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有效提高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有效提高</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p>
        </w:tc>
      </w:tr>
      <w:tr>
        <w:tblPrEx>
          <w:tblLayout w:type="fixed"/>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受益群众满意度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偏差原因：项目实施效果较好，满意度实际值超过预期导致出现正偏差</w:t>
            </w:r>
          </w:p>
        </w:tc>
      </w:tr>
      <w:tr>
        <w:tblPrEx>
          <w:tblLayout w:type="fixed"/>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本单位2024年度无政府采购支出，授予中小企业合同金额0.00万元。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57E46"/>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9657CC9"/>
    <w:rsid w:val="3B1220C9"/>
    <w:rsid w:val="3D5275AC"/>
    <w:rsid w:val="3EA7725F"/>
    <w:rsid w:val="3EC014A1"/>
    <w:rsid w:val="40834692"/>
    <w:rsid w:val="423A32B2"/>
    <w:rsid w:val="423C0CB4"/>
    <w:rsid w:val="427B5743"/>
    <w:rsid w:val="42E64542"/>
    <w:rsid w:val="464B7E04"/>
    <w:rsid w:val="464F7E64"/>
    <w:rsid w:val="46901EEE"/>
    <w:rsid w:val="469C74D2"/>
    <w:rsid w:val="47445515"/>
    <w:rsid w:val="47721C5B"/>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3820</Words>
  <Characters>4393</Characters>
  <Lines>0</Lines>
  <Paragraphs>0</Paragraphs>
  <TotalTime>4</TotalTime>
  <ScaleCrop>false</ScaleCrop>
  <LinksUpToDate>false</LinksUpToDate>
  <CharactersWithSpaces>4401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DELL</cp:lastModifiedBy>
  <cp:lastPrinted>2024-07-22T11:58:00Z</cp:lastPrinted>
  <dcterms:modified xsi:type="dcterms:W3CDTF">2025-09-30T03:18:42Z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